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4D" w:rsidRPr="003A0E1F" w:rsidRDefault="00FA554D">
      <w:pPr>
        <w:rPr>
          <w:rFonts w:ascii="Cambria" w:hAnsi="Cambria"/>
          <w:sz w:val="24"/>
          <w:szCs w:val="24"/>
        </w:rPr>
      </w:pPr>
    </w:p>
    <w:p w:rsidR="00FB0C8A" w:rsidRPr="003A0E1F" w:rsidRDefault="00FB0C8A">
      <w:pPr>
        <w:rPr>
          <w:rFonts w:ascii="Cambria" w:hAnsi="Cambria"/>
          <w:sz w:val="24"/>
          <w:szCs w:val="24"/>
        </w:rPr>
      </w:pPr>
    </w:p>
    <w:p w:rsidR="00FB0C8A" w:rsidRPr="003A0E1F" w:rsidRDefault="00FB0C8A">
      <w:pPr>
        <w:rPr>
          <w:rFonts w:ascii="Cambria" w:hAnsi="Cambria"/>
          <w:sz w:val="24"/>
          <w:szCs w:val="24"/>
        </w:rPr>
      </w:pPr>
    </w:p>
    <w:p w:rsidR="00FB0C8A" w:rsidRPr="00303138" w:rsidRDefault="00FB0C8A">
      <w:pPr>
        <w:rPr>
          <w:rFonts w:ascii="Cambria" w:hAnsi="Cambria"/>
          <w:sz w:val="50"/>
          <w:szCs w:val="50"/>
        </w:rPr>
      </w:pPr>
    </w:p>
    <w:p w:rsidR="00FB0C8A" w:rsidRPr="00303138" w:rsidRDefault="003A0E1F" w:rsidP="00FB0C8A">
      <w:pPr>
        <w:jc w:val="center"/>
        <w:rPr>
          <w:rFonts w:ascii="Cambria" w:hAnsi="Cambria"/>
          <w:b/>
          <w:sz w:val="50"/>
          <w:szCs w:val="50"/>
          <w:lang w:val="es-ES"/>
        </w:rPr>
      </w:pPr>
      <w:r w:rsidRPr="00303138">
        <w:rPr>
          <w:rFonts w:ascii="Cambria" w:hAnsi="Cambria"/>
          <w:b/>
          <w:sz w:val="50"/>
          <w:szCs w:val="50"/>
          <w:lang w:val="es-ES"/>
        </w:rPr>
        <w:t>PROGRAMA AN</w:t>
      </w:r>
      <w:r w:rsidR="00FB0C8A" w:rsidRPr="00303138">
        <w:rPr>
          <w:rFonts w:ascii="Cambria" w:hAnsi="Cambria"/>
          <w:b/>
          <w:sz w:val="50"/>
          <w:szCs w:val="50"/>
          <w:lang w:val="es-ES"/>
        </w:rPr>
        <w:t>UAL DE DESARROLLO ARCHIVISTICO.</w:t>
      </w:r>
    </w:p>
    <w:p w:rsidR="00FB0C8A" w:rsidRPr="00303138" w:rsidRDefault="00FB0C8A" w:rsidP="00FB0C8A">
      <w:pPr>
        <w:jc w:val="center"/>
        <w:rPr>
          <w:rFonts w:ascii="Cambria" w:hAnsi="Cambria"/>
          <w:b/>
          <w:sz w:val="50"/>
          <w:szCs w:val="50"/>
          <w:lang w:val="es-ES"/>
        </w:rPr>
      </w:pPr>
    </w:p>
    <w:p w:rsidR="00FB0C8A" w:rsidRPr="00303138" w:rsidRDefault="00FB0C8A" w:rsidP="00FB0C8A">
      <w:pPr>
        <w:jc w:val="center"/>
        <w:rPr>
          <w:rFonts w:ascii="Cambria" w:hAnsi="Cambria"/>
          <w:b/>
          <w:sz w:val="40"/>
          <w:szCs w:val="40"/>
          <w:lang w:val="es-ES"/>
        </w:rPr>
      </w:pPr>
      <w:r w:rsidRPr="00303138">
        <w:rPr>
          <w:rFonts w:ascii="Cambria" w:hAnsi="Cambria"/>
          <w:b/>
          <w:sz w:val="40"/>
          <w:szCs w:val="40"/>
          <w:lang w:val="es-ES"/>
        </w:rPr>
        <w:t>CENTRO DE ESTIMULACION PARA PERSONAS CON DISCAPACIDAD INTELECTUAL</w:t>
      </w:r>
      <w:r w:rsidR="00303138">
        <w:rPr>
          <w:rFonts w:ascii="Cambria" w:hAnsi="Cambria"/>
          <w:b/>
          <w:sz w:val="40"/>
          <w:szCs w:val="40"/>
          <w:lang w:val="es-ES"/>
        </w:rPr>
        <w:t xml:space="preserve"> (CENDI)</w:t>
      </w:r>
      <w:r w:rsidRPr="00303138">
        <w:rPr>
          <w:rFonts w:ascii="Cambria" w:hAnsi="Cambria"/>
          <w:b/>
          <w:sz w:val="40"/>
          <w:szCs w:val="40"/>
          <w:lang w:val="es-ES"/>
        </w:rPr>
        <w:t xml:space="preserve"> DEL MUNICIPIO DE TLAJOMULCO DE ZÚÑIGA.</w:t>
      </w:r>
    </w:p>
    <w:p w:rsidR="00FB0C8A" w:rsidRDefault="007C4420" w:rsidP="00FB0C8A">
      <w:pPr>
        <w:jc w:val="center"/>
        <w:rPr>
          <w:rFonts w:ascii="Cambria" w:hAnsi="Cambria"/>
          <w:b/>
          <w:sz w:val="40"/>
          <w:szCs w:val="40"/>
          <w:lang w:val="es-ES"/>
        </w:rPr>
      </w:pPr>
      <w:r w:rsidRPr="00303138">
        <w:rPr>
          <w:rFonts w:ascii="Cambria" w:hAnsi="Cambria"/>
          <w:b/>
          <w:sz w:val="40"/>
          <w:szCs w:val="40"/>
          <w:lang w:val="es-ES"/>
        </w:rPr>
        <w:t>(PADA 2022).</w:t>
      </w:r>
    </w:p>
    <w:p w:rsidR="00303138" w:rsidRPr="00303138" w:rsidRDefault="00303138" w:rsidP="00FB0C8A">
      <w:pPr>
        <w:jc w:val="center"/>
        <w:rPr>
          <w:rFonts w:ascii="Cambria" w:hAnsi="Cambria"/>
          <w:b/>
          <w:sz w:val="40"/>
          <w:szCs w:val="40"/>
          <w:lang w:val="es-ES"/>
        </w:rPr>
      </w:pPr>
    </w:p>
    <w:p w:rsidR="007C4420" w:rsidRPr="00303138" w:rsidRDefault="007C4420" w:rsidP="00FB0C8A">
      <w:pPr>
        <w:jc w:val="center"/>
        <w:rPr>
          <w:rFonts w:ascii="Cambria" w:hAnsi="Cambria"/>
          <w:b/>
          <w:sz w:val="50"/>
          <w:szCs w:val="50"/>
          <w:lang w:val="es-ES"/>
        </w:rPr>
      </w:pPr>
    </w:p>
    <w:p w:rsidR="007C4420" w:rsidRPr="003A0E1F" w:rsidRDefault="007C4420" w:rsidP="00FB0C8A">
      <w:pPr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7C4420" w:rsidRPr="003A0E1F" w:rsidRDefault="007C4420" w:rsidP="00FB0C8A">
      <w:pPr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7C4420" w:rsidRDefault="007C4420" w:rsidP="00FB0C8A">
      <w:pPr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3A0E1F" w:rsidRDefault="003A0E1F" w:rsidP="00FB0C8A">
      <w:pPr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3A0E1F" w:rsidRDefault="003A0E1F" w:rsidP="00FB0C8A">
      <w:pPr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43400A" w:rsidRDefault="0043400A" w:rsidP="00FB0C8A">
      <w:pPr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43400A" w:rsidRDefault="0043400A" w:rsidP="00FB0C8A">
      <w:pPr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43400A" w:rsidRDefault="0043400A" w:rsidP="00FB0C8A">
      <w:pPr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43400A" w:rsidRDefault="0043400A" w:rsidP="00FB0C8A">
      <w:pPr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43400A" w:rsidRDefault="0043400A" w:rsidP="00FB0C8A">
      <w:pPr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43400A" w:rsidRDefault="0043400A" w:rsidP="00FB0C8A">
      <w:pPr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3A0E1F" w:rsidRDefault="003A0E1F" w:rsidP="00FB0C8A">
      <w:pPr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3A0E1F" w:rsidRPr="003A0E1F" w:rsidRDefault="003A0E1F" w:rsidP="00303138">
      <w:pPr>
        <w:rPr>
          <w:rFonts w:ascii="Cambria" w:hAnsi="Cambria"/>
          <w:b/>
          <w:sz w:val="24"/>
          <w:szCs w:val="24"/>
          <w:lang w:val="es-ES"/>
        </w:rPr>
      </w:pPr>
    </w:p>
    <w:p w:rsidR="00FB0C8A" w:rsidRDefault="00FB0C8A" w:rsidP="0084387B">
      <w:pPr>
        <w:rPr>
          <w:rFonts w:ascii="Cambria" w:hAnsi="Cambria"/>
          <w:b/>
          <w:sz w:val="24"/>
          <w:szCs w:val="24"/>
          <w:lang w:val="es-ES"/>
        </w:rPr>
      </w:pPr>
    </w:p>
    <w:p w:rsidR="0043400A" w:rsidRDefault="0043400A" w:rsidP="0084387B">
      <w:pPr>
        <w:rPr>
          <w:rFonts w:ascii="Cambria" w:hAnsi="Cambria"/>
          <w:b/>
          <w:sz w:val="24"/>
          <w:szCs w:val="24"/>
          <w:lang w:val="es-ES"/>
        </w:rPr>
      </w:pPr>
    </w:p>
    <w:p w:rsidR="0043400A" w:rsidRDefault="0043400A" w:rsidP="0084387B">
      <w:pPr>
        <w:rPr>
          <w:rFonts w:ascii="Cambria" w:hAnsi="Cambria"/>
          <w:b/>
          <w:sz w:val="24"/>
          <w:szCs w:val="24"/>
          <w:lang w:val="es-ES"/>
        </w:rPr>
      </w:pPr>
    </w:p>
    <w:p w:rsidR="0043400A" w:rsidRDefault="0043400A" w:rsidP="0084387B">
      <w:pPr>
        <w:rPr>
          <w:rFonts w:ascii="Cambria" w:hAnsi="Cambria"/>
          <w:b/>
          <w:sz w:val="24"/>
          <w:szCs w:val="24"/>
          <w:lang w:val="es-ES"/>
        </w:rPr>
      </w:pPr>
    </w:p>
    <w:p w:rsidR="0043400A" w:rsidRPr="003A0E1F" w:rsidRDefault="0043400A" w:rsidP="0084387B">
      <w:pPr>
        <w:rPr>
          <w:rFonts w:ascii="Cambria" w:hAnsi="Cambria"/>
          <w:b/>
          <w:sz w:val="24"/>
          <w:szCs w:val="24"/>
          <w:lang w:val="es-ES"/>
        </w:rPr>
      </w:pPr>
    </w:p>
    <w:p w:rsidR="0084387B" w:rsidRPr="003A0E1F" w:rsidRDefault="003A0E1F" w:rsidP="003A0E1F">
      <w:pPr>
        <w:jc w:val="center"/>
        <w:rPr>
          <w:rFonts w:ascii="Cambria" w:hAnsi="Cambria"/>
          <w:b/>
          <w:sz w:val="24"/>
          <w:szCs w:val="24"/>
          <w:lang w:val="es-ES"/>
        </w:rPr>
      </w:pPr>
      <w:r w:rsidRPr="003A0E1F">
        <w:rPr>
          <w:rFonts w:ascii="Cambria" w:hAnsi="Cambria"/>
          <w:b/>
          <w:sz w:val="24"/>
          <w:szCs w:val="24"/>
          <w:lang w:val="es-ES"/>
        </w:rPr>
        <w:lastRenderedPageBreak/>
        <w:t>MARCO DE REFERENCIA</w:t>
      </w:r>
    </w:p>
    <w:p w:rsidR="0084387B" w:rsidRPr="003A0E1F" w:rsidRDefault="0084387B" w:rsidP="0084387B">
      <w:pPr>
        <w:ind w:firstLine="720"/>
        <w:jc w:val="both"/>
        <w:rPr>
          <w:rFonts w:ascii="Cambria" w:hAnsi="Cambria"/>
          <w:sz w:val="24"/>
          <w:szCs w:val="24"/>
          <w:lang w:val="es-ES"/>
        </w:rPr>
      </w:pPr>
      <w:r w:rsidRPr="003A0E1F">
        <w:rPr>
          <w:rFonts w:ascii="Cambria" w:hAnsi="Cambria"/>
          <w:sz w:val="24"/>
          <w:szCs w:val="24"/>
          <w:lang w:val="es-ES"/>
        </w:rPr>
        <w:t xml:space="preserve">El </w:t>
      </w:r>
      <w:r w:rsidRPr="003A0E1F">
        <w:rPr>
          <w:rFonts w:ascii="Cambria" w:hAnsi="Cambria"/>
          <w:sz w:val="24"/>
          <w:szCs w:val="24"/>
          <w:lang w:val="es-ES"/>
        </w:rPr>
        <w:t>Centro de Estimulación para Personas con Discapacidad Intelectual del Municipio de Tlajomulco, es un Organismo Público Descentralizado</w:t>
      </w:r>
      <w:r w:rsidRPr="003A0E1F">
        <w:rPr>
          <w:rFonts w:ascii="Cambria" w:hAnsi="Cambria"/>
          <w:sz w:val="24"/>
          <w:szCs w:val="24"/>
          <w:lang w:val="es-ES"/>
        </w:rPr>
        <w:t xml:space="preserve"> con personalidad jurídica y patrimonio propios, y ti</w:t>
      </w:r>
      <w:r w:rsidR="00686944" w:rsidRPr="003A0E1F">
        <w:rPr>
          <w:rFonts w:ascii="Cambria" w:hAnsi="Cambria"/>
          <w:sz w:val="24"/>
          <w:szCs w:val="24"/>
          <w:lang w:val="es-ES"/>
        </w:rPr>
        <w:t xml:space="preserve">ene como funciones brindar atención </w:t>
      </w:r>
      <w:r w:rsidR="00686944" w:rsidRPr="003A0E1F">
        <w:rPr>
          <w:rFonts w:ascii="Cambria" w:eastAsia="Verdana" w:hAnsi="Cambria"/>
          <w:sz w:val="24"/>
          <w:szCs w:val="24"/>
          <w:lang w:val="es-ES"/>
        </w:rPr>
        <w:t>mediante terapias a las personas con discapacidad intelectu</w:t>
      </w:r>
      <w:r w:rsidR="00686944" w:rsidRPr="003A0E1F">
        <w:rPr>
          <w:rFonts w:ascii="Cambria" w:eastAsia="Verdana" w:hAnsi="Cambria"/>
          <w:sz w:val="24"/>
          <w:szCs w:val="24"/>
          <w:lang w:val="es-ES"/>
        </w:rPr>
        <w:t xml:space="preserve">al del municipio de Tlajomulco, </w:t>
      </w:r>
      <w:proofErr w:type="spellStart"/>
      <w:r w:rsidR="00686944" w:rsidRPr="003A0E1F">
        <w:rPr>
          <w:rFonts w:ascii="Cambria" w:eastAsia="Verdana" w:hAnsi="Cambria"/>
          <w:sz w:val="24"/>
          <w:szCs w:val="24"/>
          <w:lang w:val="es-ES"/>
        </w:rPr>
        <w:t>asi</w:t>
      </w:r>
      <w:proofErr w:type="spellEnd"/>
      <w:r w:rsidR="00686944" w:rsidRPr="003A0E1F">
        <w:rPr>
          <w:rFonts w:ascii="Cambria" w:eastAsia="Verdana" w:hAnsi="Cambria"/>
          <w:sz w:val="24"/>
          <w:szCs w:val="24"/>
          <w:lang w:val="es-ES"/>
        </w:rPr>
        <w:t xml:space="preserve"> como </w:t>
      </w:r>
      <w:proofErr w:type="gramStart"/>
      <w:r w:rsidR="00686944" w:rsidRPr="003A0E1F">
        <w:rPr>
          <w:rFonts w:ascii="Cambria" w:eastAsia="Verdana" w:hAnsi="Cambria"/>
          <w:sz w:val="24"/>
          <w:szCs w:val="24"/>
          <w:lang w:val="es-ES"/>
        </w:rPr>
        <w:t>promover  políticas</w:t>
      </w:r>
      <w:proofErr w:type="gramEnd"/>
      <w:r w:rsidR="00686944" w:rsidRPr="003A0E1F">
        <w:rPr>
          <w:rFonts w:ascii="Cambria" w:eastAsia="Verdana" w:hAnsi="Cambria"/>
          <w:sz w:val="24"/>
          <w:szCs w:val="24"/>
          <w:lang w:val="es-ES"/>
        </w:rPr>
        <w:t xml:space="preserve"> de inclusión</w:t>
      </w:r>
      <w:r w:rsidR="00686944" w:rsidRPr="003A0E1F">
        <w:rPr>
          <w:rFonts w:ascii="Cambria" w:hAnsi="Cambria"/>
          <w:sz w:val="24"/>
          <w:szCs w:val="24"/>
          <w:lang w:val="es-ES"/>
        </w:rPr>
        <w:t xml:space="preserve"> </w:t>
      </w:r>
      <w:r w:rsidRPr="003A0E1F">
        <w:rPr>
          <w:rFonts w:ascii="Cambria" w:hAnsi="Cambria"/>
          <w:sz w:val="24"/>
          <w:szCs w:val="24"/>
          <w:lang w:val="es-ES"/>
        </w:rPr>
        <w:t xml:space="preserve"> a través de las funciones y atribuciones que les son conferidas en el Reglamento Interior del Instituto.</w:t>
      </w:r>
    </w:p>
    <w:p w:rsidR="00686944" w:rsidRPr="003A0E1F" w:rsidRDefault="00686944" w:rsidP="00686944">
      <w:pPr>
        <w:ind w:firstLine="720"/>
        <w:jc w:val="both"/>
        <w:rPr>
          <w:rFonts w:ascii="Cambria" w:hAnsi="Cambria" w:cs="Arial"/>
          <w:sz w:val="24"/>
          <w:szCs w:val="24"/>
          <w:lang w:val="es-ES"/>
        </w:rPr>
      </w:pPr>
      <w:r w:rsidRPr="003A0E1F">
        <w:rPr>
          <w:rFonts w:ascii="Cambria" w:hAnsi="Cambria" w:cs="Arial"/>
          <w:sz w:val="24"/>
          <w:szCs w:val="24"/>
          <w:lang w:val="es-ES"/>
        </w:rPr>
        <w:t>Bajo esta perspectiva, las Unidades Administrativas que integran la est</w:t>
      </w:r>
      <w:r w:rsidRPr="003A0E1F">
        <w:rPr>
          <w:rFonts w:ascii="Cambria" w:hAnsi="Cambria" w:cs="Arial"/>
          <w:sz w:val="24"/>
          <w:szCs w:val="24"/>
          <w:lang w:val="es-ES"/>
        </w:rPr>
        <w:t>ructura orgánica del CENDI</w:t>
      </w:r>
      <w:r w:rsidRPr="003A0E1F">
        <w:rPr>
          <w:rFonts w:ascii="Cambria" w:hAnsi="Cambria" w:cs="Arial"/>
          <w:sz w:val="24"/>
          <w:szCs w:val="24"/>
          <w:lang w:val="es-ES"/>
        </w:rPr>
        <w:t xml:space="preserve"> realizan actividades de forma cotidiana para el cumplimiento de sus objetivos, generando una gran cantidad de documentos que se integran en expedientes organizados y clasificados archivísticamente, que exigen al </w:t>
      </w:r>
      <w:r w:rsidRPr="003A0E1F">
        <w:rPr>
          <w:rFonts w:ascii="Cambria" w:hAnsi="Cambria" w:cs="Arial"/>
          <w:sz w:val="24"/>
          <w:szCs w:val="24"/>
          <w:lang w:val="es-ES"/>
        </w:rPr>
        <w:t>CENDI</w:t>
      </w:r>
      <w:r w:rsidRPr="003A0E1F">
        <w:rPr>
          <w:rFonts w:ascii="Cambria" w:hAnsi="Cambria" w:cs="Arial"/>
          <w:sz w:val="24"/>
          <w:szCs w:val="24"/>
          <w:lang w:val="es-ES"/>
        </w:rPr>
        <w:t xml:space="preserve"> como sujeto obligado, contar con un Sistema Institucional de Archivos, un Área Coordinadora de Archivos, Grupo </w:t>
      </w:r>
      <w:proofErr w:type="spellStart"/>
      <w:r w:rsidRPr="003A0E1F">
        <w:rPr>
          <w:rFonts w:ascii="Cambria" w:hAnsi="Cambria" w:cs="Arial"/>
          <w:sz w:val="24"/>
          <w:szCs w:val="24"/>
          <w:lang w:val="es-ES"/>
        </w:rPr>
        <w:t>lnterdisciplinario</w:t>
      </w:r>
      <w:proofErr w:type="spellEnd"/>
      <w:r w:rsidRPr="003A0E1F">
        <w:rPr>
          <w:rFonts w:ascii="Cambria" w:hAnsi="Cambria" w:cs="Arial"/>
          <w:sz w:val="24"/>
          <w:szCs w:val="24"/>
          <w:lang w:val="es-ES"/>
        </w:rPr>
        <w:t xml:space="preserve"> de Archivos, Instrumentos de Control y Consulta Archivístico vigentes (Cuadro General de Clasificación Archivística, Catálogo de Disposición Documental e </w:t>
      </w:r>
      <w:proofErr w:type="spellStart"/>
      <w:r w:rsidRPr="003A0E1F">
        <w:rPr>
          <w:rFonts w:ascii="Cambria" w:hAnsi="Cambria" w:cs="Arial"/>
          <w:sz w:val="24"/>
          <w:szCs w:val="24"/>
          <w:lang w:val="es-ES"/>
        </w:rPr>
        <w:t>lnventarios</w:t>
      </w:r>
      <w:proofErr w:type="spellEnd"/>
      <w:r w:rsidRPr="003A0E1F">
        <w:rPr>
          <w:rFonts w:ascii="Cambria" w:hAnsi="Cambria" w:cs="Arial"/>
          <w:sz w:val="24"/>
          <w:szCs w:val="24"/>
          <w:lang w:val="es-ES"/>
        </w:rPr>
        <w:t xml:space="preserve"> Documentales),así como la Guía de Archivo Documental, que le ha permitido tener una adecuada y oportuna gestión de las áreas productoras, archivos de trámite y concentración en  las distintas etapas del ciclo vital de la documentación.</w:t>
      </w:r>
    </w:p>
    <w:p w:rsidR="00686944" w:rsidRPr="003A0E1F" w:rsidRDefault="00686944" w:rsidP="00686944">
      <w:pPr>
        <w:ind w:firstLine="720"/>
        <w:jc w:val="both"/>
        <w:rPr>
          <w:rFonts w:ascii="Cambria" w:hAnsi="Cambria"/>
          <w:sz w:val="24"/>
          <w:szCs w:val="24"/>
          <w:lang w:val="es-ES"/>
        </w:rPr>
      </w:pPr>
      <w:r w:rsidRPr="003A0E1F">
        <w:rPr>
          <w:rFonts w:ascii="Cambria" w:hAnsi="Cambria"/>
          <w:sz w:val="24"/>
          <w:szCs w:val="24"/>
          <w:lang w:val="es-ES"/>
        </w:rPr>
        <w:t xml:space="preserve">Por tanto, el CENDI Tlajomulco en cumplimiento a </w:t>
      </w:r>
      <w:r w:rsidRPr="003A0E1F">
        <w:rPr>
          <w:rFonts w:ascii="Cambria" w:hAnsi="Cambria"/>
          <w:sz w:val="24"/>
          <w:szCs w:val="24"/>
          <w:lang w:val="es-ES"/>
        </w:rPr>
        <w:t xml:space="preserve"> lo establecido en el artículo 22 de la Ley de Archivos del Estado de Jalisco y sus Municipios, los sujetos obligados que cuenten con un Sistema Institucional de Archivos, deberán elaborar un Programa Anual de Desarrollo Archivístico (PADA), mismo que contemple programas y acciones institucionales para la actualización y mejoramiento continuo en la organización, conservación, disponibilidad, integridad y localización de los documentos, el cual deberá ser publicado en el portal de Internet del CENDI, así corno sus respectivos informes anuales.</w:t>
      </w:r>
    </w:p>
    <w:p w:rsidR="00686944" w:rsidRPr="003A0E1F" w:rsidRDefault="00686944" w:rsidP="00686944">
      <w:pPr>
        <w:ind w:firstLine="720"/>
        <w:jc w:val="both"/>
        <w:rPr>
          <w:rFonts w:ascii="Cambria" w:hAnsi="Cambria"/>
          <w:sz w:val="24"/>
          <w:szCs w:val="24"/>
          <w:lang w:val="es-ES"/>
        </w:rPr>
      </w:pPr>
      <w:r w:rsidRPr="003A0E1F">
        <w:rPr>
          <w:rFonts w:ascii="Cambria" w:hAnsi="Cambria"/>
          <w:sz w:val="24"/>
          <w:szCs w:val="24"/>
          <w:lang w:val="es-ES"/>
        </w:rPr>
        <w:t>Para tales efectos, se presenta el Programa Anual de Desarrollo Archivístico 2022, instrumento mediante el cual se establecen de manera secuencial las actividades a realizar durante el ejercicio fiscal 2022.</w:t>
      </w:r>
    </w:p>
    <w:p w:rsidR="00686944" w:rsidRPr="003A0E1F" w:rsidRDefault="003A0E1F" w:rsidP="003A0E1F">
      <w:pPr>
        <w:ind w:firstLine="720"/>
        <w:jc w:val="center"/>
        <w:rPr>
          <w:rFonts w:ascii="Cambria" w:hAnsi="Cambria"/>
          <w:b/>
          <w:sz w:val="24"/>
          <w:szCs w:val="24"/>
          <w:lang w:val="es-ES"/>
        </w:rPr>
      </w:pPr>
      <w:r w:rsidRPr="003A0E1F">
        <w:rPr>
          <w:rFonts w:ascii="Cambria" w:hAnsi="Cambria"/>
          <w:b/>
          <w:sz w:val="24"/>
          <w:szCs w:val="24"/>
          <w:lang w:val="es-ES"/>
        </w:rPr>
        <w:t>JUSTIFICACIÓN.</w:t>
      </w:r>
    </w:p>
    <w:p w:rsidR="00686944" w:rsidRPr="003A0E1F" w:rsidRDefault="00686944" w:rsidP="00686944">
      <w:pPr>
        <w:ind w:firstLine="720"/>
        <w:jc w:val="both"/>
        <w:rPr>
          <w:rFonts w:ascii="Cambria" w:hAnsi="Cambria"/>
          <w:sz w:val="24"/>
          <w:szCs w:val="24"/>
          <w:lang w:val="es-ES"/>
        </w:rPr>
      </w:pPr>
      <w:proofErr w:type="gramStart"/>
      <w:r w:rsidRPr="003A0E1F">
        <w:rPr>
          <w:rFonts w:ascii="Cambria" w:hAnsi="Cambria"/>
          <w:sz w:val="24"/>
          <w:szCs w:val="24"/>
          <w:lang w:val="es-ES"/>
        </w:rPr>
        <w:t xml:space="preserve">Con </w:t>
      </w:r>
      <w:r w:rsidRPr="003A0E1F">
        <w:rPr>
          <w:rFonts w:ascii="Cambria" w:hAnsi="Cambria"/>
          <w:sz w:val="24"/>
          <w:szCs w:val="24"/>
          <w:lang w:val="es-ES"/>
        </w:rPr>
        <w:t xml:space="preserve"> la</w:t>
      </w:r>
      <w:proofErr w:type="gramEnd"/>
      <w:r w:rsidRPr="003A0E1F">
        <w:rPr>
          <w:rFonts w:ascii="Cambria" w:hAnsi="Cambria"/>
          <w:sz w:val="24"/>
          <w:szCs w:val="24"/>
          <w:lang w:val="es-ES"/>
        </w:rPr>
        <w:t xml:space="preserve"> implementación del PADA, se busca establecer una coordinación y comunicación con los responsables de los Archivos de Trámite y  Concentración  que permita un trabajo conjunto e institucional.</w:t>
      </w:r>
    </w:p>
    <w:p w:rsidR="00686944" w:rsidRPr="003A0E1F" w:rsidRDefault="00686944" w:rsidP="00686944">
      <w:pPr>
        <w:ind w:firstLine="720"/>
        <w:jc w:val="both"/>
        <w:rPr>
          <w:rFonts w:ascii="Cambria" w:hAnsi="Cambria"/>
          <w:sz w:val="24"/>
          <w:szCs w:val="24"/>
          <w:lang w:val="es-ES"/>
        </w:rPr>
      </w:pPr>
      <w:r w:rsidRPr="003A0E1F">
        <w:rPr>
          <w:rFonts w:ascii="Cambria" w:hAnsi="Cambria"/>
          <w:sz w:val="24"/>
          <w:szCs w:val="24"/>
          <w:lang w:val="es-ES"/>
        </w:rPr>
        <w:t>Asimismo, el PADA contempla realizar adecuaciones a las instalaciones del Archivo de Concentración, a efecto d</w:t>
      </w:r>
      <w:r w:rsidR="003260B7" w:rsidRPr="003A0E1F">
        <w:rPr>
          <w:rFonts w:ascii="Cambria" w:hAnsi="Cambria"/>
          <w:sz w:val="24"/>
          <w:szCs w:val="24"/>
          <w:lang w:val="es-ES"/>
        </w:rPr>
        <w:t xml:space="preserve">e salvaguardar la integridad de los documentos e   </w:t>
      </w:r>
      <w:r w:rsidRPr="003A0E1F">
        <w:rPr>
          <w:rFonts w:ascii="Cambria" w:hAnsi="Cambria"/>
          <w:sz w:val="24"/>
          <w:szCs w:val="24"/>
          <w:lang w:val="es-ES"/>
        </w:rPr>
        <w:t xml:space="preserve">implementar medidas para evitar la destrucción de </w:t>
      </w:r>
      <w:r w:rsidR="003260B7" w:rsidRPr="003A0E1F">
        <w:rPr>
          <w:rFonts w:ascii="Cambria" w:hAnsi="Cambria"/>
          <w:sz w:val="24"/>
          <w:szCs w:val="24"/>
          <w:lang w:val="es-ES"/>
        </w:rPr>
        <w:t>éstos,</w:t>
      </w:r>
      <w:r w:rsidRPr="003A0E1F">
        <w:rPr>
          <w:rFonts w:ascii="Cambria" w:hAnsi="Cambria"/>
          <w:sz w:val="24"/>
          <w:szCs w:val="24"/>
          <w:lang w:val="es-ES"/>
        </w:rPr>
        <w:t xml:space="preserve"> ponderando la preservación y el va</w:t>
      </w:r>
      <w:r w:rsidR="003260B7" w:rsidRPr="003A0E1F">
        <w:rPr>
          <w:rFonts w:ascii="Cambria" w:hAnsi="Cambria"/>
          <w:sz w:val="24"/>
          <w:szCs w:val="24"/>
          <w:lang w:val="es-ES"/>
        </w:rPr>
        <w:t>lor de la memoria institucional.</w:t>
      </w:r>
    </w:p>
    <w:p w:rsidR="003260B7" w:rsidRPr="003A0E1F" w:rsidRDefault="003260B7" w:rsidP="003260B7">
      <w:pPr>
        <w:ind w:firstLine="720"/>
        <w:jc w:val="both"/>
        <w:rPr>
          <w:rFonts w:ascii="Cambria" w:hAnsi="Cambria"/>
          <w:sz w:val="24"/>
          <w:szCs w:val="24"/>
          <w:lang w:val="es-ES"/>
        </w:rPr>
      </w:pPr>
    </w:p>
    <w:p w:rsidR="003260B7" w:rsidRPr="003A0E1F" w:rsidRDefault="003260B7" w:rsidP="003260B7">
      <w:pPr>
        <w:ind w:firstLine="720"/>
        <w:jc w:val="center"/>
        <w:rPr>
          <w:rFonts w:ascii="Cambria" w:hAnsi="Cambria"/>
          <w:b/>
          <w:sz w:val="24"/>
          <w:szCs w:val="24"/>
          <w:lang w:val="es-ES"/>
        </w:rPr>
      </w:pPr>
      <w:r w:rsidRPr="003A0E1F">
        <w:rPr>
          <w:rFonts w:ascii="Cambria" w:hAnsi="Cambria"/>
          <w:b/>
          <w:sz w:val="24"/>
          <w:szCs w:val="24"/>
          <w:lang w:val="es-ES"/>
        </w:rPr>
        <w:t xml:space="preserve"> OBJETIVOS:</w:t>
      </w:r>
    </w:p>
    <w:p w:rsidR="003260B7" w:rsidRPr="003A0E1F" w:rsidRDefault="003260B7" w:rsidP="003260B7">
      <w:pPr>
        <w:ind w:firstLine="720"/>
        <w:jc w:val="both"/>
        <w:rPr>
          <w:rFonts w:ascii="Cambria" w:hAnsi="Cambria"/>
          <w:sz w:val="24"/>
          <w:szCs w:val="24"/>
          <w:lang w:val="es-ES"/>
        </w:rPr>
      </w:pPr>
      <w:r w:rsidRPr="003A0E1F">
        <w:rPr>
          <w:rFonts w:ascii="Cambria" w:hAnsi="Cambria"/>
          <w:b/>
          <w:sz w:val="24"/>
          <w:szCs w:val="24"/>
          <w:lang w:val="es-ES"/>
        </w:rPr>
        <w:t>GENERAL</w:t>
      </w:r>
      <w:r w:rsidRPr="003A0E1F">
        <w:rPr>
          <w:rFonts w:ascii="Cambria" w:hAnsi="Cambria"/>
          <w:sz w:val="24"/>
          <w:szCs w:val="24"/>
          <w:lang w:val="es-ES"/>
        </w:rPr>
        <w:t xml:space="preserve">: Implementar las </w:t>
      </w:r>
      <w:r w:rsidRPr="003A0E1F">
        <w:rPr>
          <w:rFonts w:ascii="Cambria" w:hAnsi="Cambria"/>
          <w:sz w:val="24"/>
          <w:szCs w:val="24"/>
          <w:lang w:val="es-ES"/>
        </w:rPr>
        <w:t>actividades y acciones en cumplimiento del marco normativo</w:t>
      </w:r>
      <w:r w:rsidRPr="003A0E1F">
        <w:rPr>
          <w:rFonts w:ascii="Cambria" w:hAnsi="Cambria"/>
          <w:sz w:val="24"/>
          <w:szCs w:val="24"/>
          <w:lang w:val="es-ES"/>
        </w:rPr>
        <w:t xml:space="preserve"> y fortalecer el </w:t>
      </w:r>
      <w:r w:rsidRPr="003A0E1F">
        <w:rPr>
          <w:rFonts w:ascii="Cambria" w:hAnsi="Cambria"/>
          <w:sz w:val="24"/>
          <w:szCs w:val="24"/>
          <w:lang w:val="es-ES"/>
        </w:rPr>
        <w:t>Sistema In</w:t>
      </w:r>
      <w:r w:rsidRPr="003A0E1F">
        <w:rPr>
          <w:rFonts w:ascii="Cambria" w:hAnsi="Cambria"/>
          <w:sz w:val="24"/>
          <w:szCs w:val="24"/>
          <w:lang w:val="es-ES"/>
        </w:rPr>
        <w:t xml:space="preserve">stitucional de Archivos, de tal manera que se garantice la conservación, disposición y localización de los documentos, </w:t>
      </w:r>
      <w:r w:rsidRPr="003A0E1F">
        <w:rPr>
          <w:rFonts w:ascii="Cambria" w:hAnsi="Cambria"/>
          <w:sz w:val="24"/>
          <w:szCs w:val="24"/>
          <w:lang w:val="es-ES"/>
        </w:rPr>
        <w:t xml:space="preserve">a fin de lograr una mejora continua en la organización, clasificación, integración, depuración y baja documental.   </w:t>
      </w:r>
    </w:p>
    <w:p w:rsidR="003260B7" w:rsidRPr="003A0E1F" w:rsidRDefault="003260B7" w:rsidP="003A0E1F">
      <w:pPr>
        <w:ind w:firstLine="720"/>
        <w:jc w:val="both"/>
        <w:rPr>
          <w:rFonts w:ascii="Cambria" w:hAnsi="Cambria"/>
          <w:b/>
          <w:sz w:val="24"/>
          <w:szCs w:val="24"/>
          <w:lang w:val="es-ES"/>
        </w:rPr>
      </w:pPr>
      <w:r w:rsidRPr="003A0E1F">
        <w:rPr>
          <w:rFonts w:ascii="Cambria" w:hAnsi="Cambria"/>
          <w:b/>
          <w:sz w:val="24"/>
          <w:szCs w:val="24"/>
          <w:lang w:val="es-ES"/>
        </w:rPr>
        <w:t xml:space="preserve">ESPECIFICOS: </w:t>
      </w:r>
    </w:p>
    <w:p w:rsidR="003260B7" w:rsidRPr="003A0E1F" w:rsidRDefault="003260B7" w:rsidP="0037621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mbria" w:eastAsiaTheme="majorEastAsia" w:hAnsi="Cambria" w:cs="Arial"/>
          <w:b/>
          <w:color w:val="2E74B5" w:themeColor="accent1" w:themeShade="BF"/>
          <w:sz w:val="24"/>
          <w:szCs w:val="24"/>
          <w:lang w:val="es-ES"/>
        </w:rPr>
      </w:pPr>
      <w:r w:rsidRPr="003A0E1F">
        <w:rPr>
          <w:rFonts w:ascii="Cambria" w:hAnsi="Cambria" w:cs="Arial"/>
          <w:sz w:val="24"/>
          <w:szCs w:val="24"/>
          <w:lang w:val="es-ES"/>
        </w:rPr>
        <w:t xml:space="preserve">Llevar a cabo un análisis de </w:t>
      </w:r>
      <w:r w:rsidRPr="003A0E1F">
        <w:rPr>
          <w:rFonts w:ascii="Cambria" w:hAnsi="Cambria" w:cs="Arial"/>
          <w:sz w:val="24"/>
          <w:szCs w:val="24"/>
          <w:lang w:val="es-ES"/>
        </w:rPr>
        <w:t xml:space="preserve">los procesos </w:t>
      </w:r>
      <w:r w:rsidRPr="003A0E1F">
        <w:rPr>
          <w:rFonts w:ascii="Cambria" w:hAnsi="Cambria" w:cs="Arial"/>
          <w:sz w:val="24"/>
          <w:szCs w:val="24"/>
          <w:lang w:val="es-ES"/>
        </w:rPr>
        <w:t xml:space="preserve">y procedimientos del CENDI en </w:t>
      </w:r>
      <w:r w:rsidRPr="003A0E1F">
        <w:rPr>
          <w:rFonts w:ascii="Cambria" w:hAnsi="Cambria" w:cs="Arial"/>
          <w:sz w:val="24"/>
          <w:szCs w:val="24"/>
          <w:lang w:val="es-ES"/>
        </w:rPr>
        <w:t>conformidad con la normatividad vigente, para la actualización de los instrumentos de control y consulta archivísticos.</w:t>
      </w:r>
    </w:p>
    <w:p w:rsidR="003260B7" w:rsidRPr="003A0E1F" w:rsidRDefault="00376217" w:rsidP="00376217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  <w:lang w:val="es-ES"/>
        </w:rPr>
      </w:pPr>
      <w:r w:rsidRPr="003A0E1F">
        <w:rPr>
          <w:rFonts w:ascii="Cambria" w:hAnsi="Cambria" w:cs="Arial"/>
          <w:sz w:val="24"/>
          <w:szCs w:val="24"/>
          <w:lang w:val="es-ES"/>
        </w:rPr>
        <w:lastRenderedPageBreak/>
        <w:t xml:space="preserve">Ejecutar un trabajo conjunto </w:t>
      </w:r>
      <w:r w:rsidR="003260B7" w:rsidRPr="003A0E1F">
        <w:rPr>
          <w:rFonts w:ascii="Cambria" w:hAnsi="Cambria" w:cs="Arial"/>
          <w:sz w:val="24"/>
          <w:szCs w:val="24"/>
          <w:lang w:val="es-ES"/>
        </w:rPr>
        <w:t xml:space="preserve">con el Grupo Interdisciplinario de Archivo </w:t>
      </w:r>
      <w:proofErr w:type="gramStart"/>
      <w:r w:rsidRPr="003A0E1F">
        <w:rPr>
          <w:rFonts w:ascii="Cambria" w:hAnsi="Cambria" w:cs="Arial"/>
          <w:sz w:val="24"/>
          <w:szCs w:val="24"/>
          <w:lang w:val="es-ES"/>
        </w:rPr>
        <w:t xml:space="preserve">y </w:t>
      </w:r>
      <w:r w:rsidR="003260B7" w:rsidRPr="003A0E1F">
        <w:rPr>
          <w:rFonts w:ascii="Cambria" w:hAnsi="Cambria" w:cs="Arial"/>
          <w:sz w:val="24"/>
          <w:szCs w:val="24"/>
          <w:lang w:val="es-ES"/>
        </w:rPr>
        <w:t xml:space="preserve"> los</w:t>
      </w:r>
      <w:proofErr w:type="gramEnd"/>
      <w:r w:rsidR="003260B7" w:rsidRPr="003A0E1F">
        <w:rPr>
          <w:rFonts w:ascii="Cambria" w:hAnsi="Cambria" w:cs="Arial"/>
          <w:sz w:val="24"/>
          <w:szCs w:val="24"/>
          <w:lang w:val="es-ES"/>
        </w:rPr>
        <w:t xml:space="preserve"> Enlaces de los Archivos de Trámite en la revisión, validación y </w:t>
      </w:r>
      <w:r w:rsidRPr="003A0E1F">
        <w:rPr>
          <w:rFonts w:ascii="Cambria" w:hAnsi="Cambria" w:cs="Arial"/>
          <w:sz w:val="24"/>
          <w:szCs w:val="24"/>
          <w:lang w:val="es-ES"/>
        </w:rPr>
        <w:t>dictaminarían</w:t>
      </w:r>
      <w:r w:rsidR="003260B7" w:rsidRPr="003A0E1F">
        <w:rPr>
          <w:rFonts w:ascii="Cambria" w:hAnsi="Cambria" w:cs="Arial"/>
          <w:sz w:val="24"/>
          <w:szCs w:val="24"/>
          <w:lang w:val="es-ES"/>
        </w:rPr>
        <w:t xml:space="preserve"> de las bajas documentales a efecto de optimizar los espacios ocupados en el inmueble para guarda y custodia del Archivo</w:t>
      </w:r>
      <w:r w:rsidRPr="003A0E1F">
        <w:rPr>
          <w:rFonts w:ascii="Cambria" w:hAnsi="Cambria" w:cs="Arial"/>
          <w:sz w:val="24"/>
          <w:szCs w:val="24"/>
          <w:lang w:val="es-ES"/>
        </w:rPr>
        <w:t xml:space="preserve"> de Concentración, para cual deberán programarse las transferencias necesarias.</w:t>
      </w:r>
    </w:p>
    <w:p w:rsidR="003260B7" w:rsidRPr="003A0E1F" w:rsidRDefault="00376217" w:rsidP="00376217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  <w:lang w:val="es-ES"/>
        </w:rPr>
      </w:pPr>
      <w:r w:rsidRPr="003A0E1F">
        <w:rPr>
          <w:rFonts w:ascii="Cambria" w:hAnsi="Cambria" w:cs="Arial"/>
          <w:sz w:val="24"/>
          <w:szCs w:val="24"/>
          <w:lang w:val="es-ES"/>
        </w:rPr>
        <w:t xml:space="preserve">Llevar a cabo la </w:t>
      </w:r>
      <w:proofErr w:type="gramStart"/>
      <w:r w:rsidRPr="003A0E1F">
        <w:rPr>
          <w:rFonts w:ascii="Cambria" w:hAnsi="Cambria" w:cs="Arial"/>
          <w:sz w:val="24"/>
          <w:szCs w:val="24"/>
          <w:lang w:val="es-ES"/>
        </w:rPr>
        <w:t>actualización  de</w:t>
      </w:r>
      <w:proofErr w:type="gramEnd"/>
      <w:r w:rsidRPr="003A0E1F">
        <w:rPr>
          <w:rFonts w:ascii="Cambria" w:hAnsi="Cambria" w:cs="Arial"/>
          <w:sz w:val="24"/>
          <w:szCs w:val="24"/>
          <w:lang w:val="es-ES"/>
        </w:rPr>
        <w:t xml:space="preserve"> </w:t>
      </w:r>
      <w:r w:rsidR="003260B7" w:rsidRPr="003A0E1F">
        <w:rPr>
          <w:rFonts w:ascii="Cambria" w:hAnsi="Cambria" w:cs="Arial"/>
          <w:sz w:val="24"/>
          <w:szCs w:val="24"/>
          <w:lang w:val="es-ES"/>
        </w:rPr>
        <w:t xml:space="preserve">la Guía de Archivo Documental para su publicación en el portal electrónico del </w:t>
      </w:r>
      <w:r w:rsidRPr="003A0E1F">
        <w:rPr>
          <w:rFonts w:ascii="Cambria" w:hAnsi="Cambria" w:cs="Arial"/>
          <w:sz w:val="24"/>
          <w:szCs w:val="24"/>
          <w:lang w:val="es-ES"/>
        </w:rPr>
        <w:t>CENDI.</w:t>
      </w:r>
    </w:p>
    <w:p w:rsidR="003260B7" w:rsidRPr="003A0E1F" w:rsidRDefault="003260B7" w:rsidP="00376217">
      <w:pPr>
        <w:pStyle w:val="Prrafodelista"/>
        <w:numPr>
          <w:ilvl w:val="0"/>
          <w:numId w:val="2"/>
        </w:numPr>
        <w:rPr>
          <w:rFonts w:ascii="Cambria" w:hAnsi="Cambria" w:cs="Arial"/>
          <w:sz w:val="24"/>
          <w:szCs w:val="24"/>
          <w:lang w:val="es-ES"/>
        </w:rPr>
      </w:pPr>
      <w:r w:rsidRPr="003A0E1F">
        <w:rPr>
          <w:rFonts w:ascii="Cambria" w:hAnsi="Cambria" w:cs="Arial"/>
          <w:sz w:val="24"/>
          <w:szCs w:val="24"/>
          <w:lang w:val="es-ES"/>
        </w:rPr>
        <w:t xml:space="preserve">Asesorar </w:t>
      </w:r>
      <w:proofErr w:type="gramStart"/>
      <w:r w:rsidRPr="003A0E1F">
        <w:rPr>
          <w:rFonts w:ascii="Cambria" w:hAnsi="Cambria" w:cs="Arial"/>
          <w:sz w:val="24"/>
          <w:szCs w:val="24"/>
          <w:lang w:val="es-ES"/>
        </w:rPr>
        <w:t>a  las</w:t>
      </w:r>
      <w:proofErr w:type="gramEnd"/>
      <w:r w:rsidRPr="003A0E1F">
        <w:rPr>
          <w:rFonts w:ascii="Cambria" w:hAnsi="Cambria" w:cs="Arial"/>
          <w:sz w:val="24"/>
          <w:szCs w:val="24"/>
          <w:lang w:val="es-ES"/>
        </w:rPr>
        <w:t xml:space="preserve"> Unidades Administrativas que así  lo requieran para la operación de los Archivos de Trámite.</w:t>
      </w:r>
    </w:p>
    <w:p w:rsidR="003260B7" w:rsidRPr="003A0E1F" w:rsidRDefault="003260B7" w:rsidP="00376217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  <w:lang w:val="es-ES"/>
        </w:rPr>
      </w:pPr>
      <w:r w:rsidRPr="003A0E1F">
        <w:rPr>
          <w:rFonts w:ascii="Cambria" w:hAnsi="Cambria" w:cs="Arial"/>
          <w:sz w:val="24"/>
          <w:szCs w:val="24"/>
          <w:lang w:val="es-ES"/>
        </w:rPr>
        <w:t xml:space="preserve">Homogeneizar los inventarios generales de las unidades administrativas, así como su respectiva alimentación y actualización periódica. </w:t>
      </w:r>
    </w:p>
    <w:p w:rsidR="00376217" w:rsidRPr="003A0E1F" w:rsidRDefault="003260B7" w:rsidP="00376217">
      <w:pPr>
        <w:pStyle w:val="Prrafodelista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  <w:lang w:val="es-ES"/>
        </w:rPr>
      </w:pPr>
      <w:r w:rsidRPr="003A0E1F">
        <w:rPr>
          <w:rFonts w:ascii="Cambria" w:hAnsi="Cambria" w:cs="Arial"/>
          <w:sz w:val="24"/>
          <w:szCs w:val="24"/>
          <w:lang w:val="es-ES"/>
        </w:rPr>
        <w:t>Proponer mejoras o cambios al inmueble destinado al Archivo de Concentración, con la finalidad de salvaguardar la adecuada guarda y custodia documental, así como la integridad de los servidores públicos encargados del mismo.</w:t>
      </w:r>
    </w:p>
    <w:p w:rsidR="00376217" w:rsidRPr="003A0E1F" w:rsidRDefault="00376217" w:rsidP="00376217">
      <w:pPr>
        <w:pStyle w:val="Prrafodelista"/>
        <w:jc w:val="both"/>
        <w:rPr>
          <w:rFonts w:ascii="Cambria" w:hAnsi="Cambria" w:cs="Arial"/>
          <w:sz w:val="24"/>
          <w:szCs w:val="24"/>
          <w:lang w:val="es-ES"/>
        </w:rPr>
      </w:pPr>
    </w:p>
    <w:p w:rsidR="00376217" w:rsidRPr="003A0E1F" w:rsidRDefault="00376217" w:rsidP="00376217">
      <w:pPr>
        <w:pStyle w:val="Prrafodelista"/>
        <w:jc w:val="both"/>
        <w:rPr>
          <w:rFonts w:ascii="Cambria" w:hAnsi="Cambria" w:cs="Arial"/>
          <w:sz w:val="24"/>
          <w:szCs w:val="24"/>
          <w:lang w:val="es-ES"/>
        </w:rPr>
      </w:pPr>
    </w:p>
    <w:p w:rsidR="00376217" w:rsidRPr="003A0E1F" w:rsidRDefault="00376217" w:rsidP="00376217">
      <w:pPr>
        <w:pStyle w:val="Prrafodelista"/>
        <w:jc w:val="center"/>
        <w:rPr>
          <w:rFonts w:ascii="Cambria" w:hAnsi="Cambria" w:cs="Arial"/>
          <w:b/>
          <w:sz w:val="24"/>
          <w:szCs w:val="24"/>
          <w:lang w:val="es-ES"/>
        </w:rPr>
      </w:pPr>
      <w:r w:rsidRPr="003A0E1F">
        <w:rPr>
          <w:rFonts w:ascii="Cambria" w:hAnsi="Cambria" w:cs="Arial"/>
          <w:b/>
          <w:sz w:val="24"/>
          <w:szCs w:val="24"/>
          <w:lang w:val="es-ES"/>
        </w:rPr>
        <w:t xml:space="preserve">PROGRAMACIÓN: </w:t>
      </w:r>
    </w:p>
    <w:p w:rsidR="00376217" w:rsidRPr="003A0E1F" w:rsidRDefault="00376217" w:rsidP="00376217">
      <w:pPr>
        <w:pStyle w:val="Prrafodelista"/>
        <w:jc w:val="center"/>
        <w:rPr>
          <w:rFonts w:ascii="Cambria" w:hAnsi="Cambria" w:cs="Arial"/>
          <w:b/>
          <w:sz w:val="24"/>
          <w:szCs w:val="24"/>
          <w:lang w:val="es-ES"/>
        </w:rPr>
      </w:pPr>
    </w:p>
    <w:p w:rsidR="00376217" w:rsidRPr="003A0E1F" w:rsidRDefault="00376217" w:rsidP="00376217">
      <w:pPr>
        <w:ind w:firstLine="720"/>
        <w:jc w:val="both"/>
        <w:rPr>
          <w:rFonts w:ascii="Cambria" w:hAnsi="Cambria" w:cs="Arial"/>
          <w:sz w:val="24"/>
          <w:szCs w:val="24"/>
          <w:lang w:val="es-ES"/>
        </w:rPr>
      </w:pPr>
      <w:r w:rsidRPr="003A0E1F">
        <w:rPr>
          <w:rFonts w:ascii="Cambria" w:hAnsi="Cambria" w:cs="Arial"/>
          <w:sz w:val="24"/>
          <w:szCs w:val="24"/>
          <w:lang w:val="es-ES"/>
        </w:rPr>
        <w:t>A fin de alcanzar los objetivos planteados en el apartado anterior</w:t>
      </w:r>
      <w:r w:rsidRPr="003A0E1F">
        <w:rPr>
          <w:rFonts w:ascii="Cambria" w:hAnsi="Cambria" w:cs="Arial"/>
          <w:sz w:val="24"/>
          <w:szCs w:val="24"/>
          <w:lang w:val="es-ES"/>
        </w:rPr>
        <w:t xml:space="preserve">, la Dirección General y el Área Coordinadora de </w:t>
      </w:r>
      <w:r w:rsidR="00111FCC" w:rsidRPr="003A0E1F">
        <w:rPr>
          <w:rFonts w:ascii="Cambria" w:hAnsi="Cambria" w:cs="Arial"/>
          <w:sz w:val="24"/>
          <w:szCs w:val="24"/>
          <w:lang w:val="es-ES"/>
        </w:rPr>
        <w:t>Archivo ha</w:t>
      </w:r>
      <w:r w:rsidRPr="003A0E1F">
        <w:rPr>
          <w:rFonts w:ascii="Cambria" w:hAnsi="Cambria" w:cs="Arial"/>
          <w:sz w:val="24"/>
          <w:szCs w:val="24"/>
          <w:lang w:val="es-ES"/>
        </w:rPr>
        <w:t xml:space="preserve"> programado una serie de actividades durante el presente </w:t>
      </w:r>
      <w:proofErr w:type="gramStart"/>
      <w:r w:rsidRPr="003A0E1F">
        <w:rPr>
          <w:rFonts w:ascii="Cambria" w:hAnsi="Cambria" w:cs="Arial"/>
          <w:sz w:val="24"/>
          <w:szCs w:val="24"/>
          <w:lang w:val="es-ES"/>
        </w:rPr>
        <w:t>ejercicio,  encaminadas</w:t>
      </w:r>
      <w:proofErr w:type="gramEnd"/>
      <w:r w:rsidRPr="003A0E1F">
        <w:rPr>
          <w:rFonts w:ascii="Cambria" w:hAnsi="Cambria" w:cs="Arial"/>
          <w:sz w:val="24"/>
          <w:szCs w:val="24"/>
          <w:lang w:val="es-ES"/>
        </w:rPr>
        <w:t xml:space="preserve"> a lograr un eficiente y eficaz  desarrollo de los procesos archivísticos.</w:t>
      </w:r>
    </w:p>
    <w:p w:rsidR="00376217" w:rsidRPr="003A0E1F" w:rsidRDefault="00376217" w:rsidP="00376217">
      <w:pPr>
        <w:ind w:firstLine="708"/>
        <w:jc w:val="both"/>
        <w:rPr>
          <w:rFonts w:ascii="Cambria" w:hAnsi="Cambria" w:cs="Arial"/>
          <w:sz w:val="24"/>
          <w:szCs w:val="24"/>
          <w:lang w:val="es-ES"/>
        </w:rPr>
      </w:pPr>
      <w:r w:rsidRPr="003A0E1F">
        <w:rPr>
          <w:rFonts w:ascii="Cambria" w:hAnsi="Cambria" w:cs="Arial"/>
          <w:sz w:val="24"/>
          <w:szCs w:val="24"/>
          <w:lang w:val="es-ES"/>
        </w:rPr>
        <w:t>Dichas actividades, deben realizarse en coordinación con los responsables de los Archivos de Trámite y de Concentración a través de las sesiones del Grupo Interdisciplinario de Archivo, capacitando, valorando e integrando los Instrumentos de Control y Consulta Archivísticos.</w:t>
      </w:r>
    </w:p>
    <w:p w:rsidR="00376217" w:rsidRPr="003A0E1F" w:rsidRDefault="00111FCC" w:rsidP="00376217">
      <w:pPr>
        <w:jc w:val="both"/>
        <w:rPr>
          <w:rFonts w:ascii="Cambria" w:hAnsi="Cambria" w:cs="Arial"/>
          <w:sz w:val="24"/>
          <w:szCs w:val="24"/>
          <w:lang w:val="es-ES"/>
        </w:rPr>
      </w:pPr>
      <w:r w:rsidRPr="003A0E1F">
        <w:rPr>
          <w:rFonts w:ascii="Cambria" w:hAnsi="Cambria" w:cs="Arial"/>
          <w:sz w:val="24"/>
          <w:szCs w:val="24"/>
          <w:lang w:val="es-ES"/>
        </w:rPr>
        <w:tab/>
      </w:r>
    </w:p>
    <w:tbl>
      <w:tblPr>
        <w:tblStyle w:val="Tablaconcuadrcul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1985"/>
      </w:tblGrid>
      <w:tr w:rsidR="00111FCC" w:rsidRPr="003A0E1F" w:rsidTr="00C94B06">
        <w:tc>
          <w:tcPr>
            <w:tcW w:w="1951" w:type="dxa"/>
            <w:shd w:val="pct15" w:color="auto" w:fill="auto"/>
          </w:tcPr>
          <w:p w:rsidR="00111FCC" w:rsidRPr="003A0E1F" w:rsidRDefault="00111FCC" w:rsidP="00303138">
            <w:pPr>
              <w:jc w:val="center"/>
              <w:rPr>
                <w:rFonts w:ascii="Cambria" w:eastAsiaTheme="majorEastAsia" w:hAnsi="Cambria" w:cs="Arial"/>
                <w:b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268" w:type="dxa"/>
            <w:shd w:val="pct15" w:color="auto" w:fill="auto"/>
          </w:tcPr>
          <w:p w:rsidR="00111FCC" w:rsidRPr="003A0E1F" w:rsidRDefault="00111FCC" w:rsidP="00303138">
            <w:pPr>
              <w:jc w:val="center"/>
              <w:rPr>
                <w:rFonts w:ascii="Cambria" w:eastAsiaTheme="majorEastAsia" w:hAnsi="Cambria" w:cs="Arial"/>
                <w:b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b/>
                <w:sz w:val="24"/>
                <w:szCs w:val="24"/>
              </w:rPr>
              <w:t>ACCIONES</w:t>
            </w:r>
          </w:p>
        </w:tc>
        <w:tc>
          <w:tcPr>
            <w:tcW w:w="2126" w:type="dxa"/>
            <w:shd w:val="pct15" w:color="auto" w:fill="auto"/>
          </w:tcPr>
          <w:p w:rsidR="00111FCC" w:rsidRPr="003A0E1F" w:rsidRDefault="00111FCC" w:rsidP="00303138">
            <w:pPr>
              <w:jc w:val="center"/>
              <w:rPr>
                <w:rFonts w:ascii="Cambria" w:eastAsiaTheme="majorEastAsia" w:hAnsi="Cambria" w:cs="Arial"/>
                <w:b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b/>
                <w:sz w:val="24"/>
                <w:szCs w:val="24"/>
              </w:rPr>
              <w:t>ENTREGABLES</w:t>
            </w:r>
          </w:p>
        </w:tc>
        <w:tc>
          <w:tcPr>
            <w:tcW w:w="1985" w:type="dxa"/>
            <w:shd w:val="pct15" w:color="auto" w:fill="auto"/>
          </w:tcPr>
          <w:p w:rsidR="00111FCC" w:rsidRPr="003A0E1F" w:rsidRDefault="00111FCC" w:rsidP="00303138">
            <w:pPr>
              <w:ind w:right="-568"/>
              <w:jc w:val="center"/>
              <w:rPr>
                <w:rFonts w:ascii="Cambria" w:eastAsiaTheme="majorEastAsia" w:hAnsi="Cambria" w:cs="Arial"/>
                <w:b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b/>
                <w:sz w:val="24"/>
                <w:szCs w:val="24"/>
              </w:rPr>
              <w:t>RESPONSABLE</w:t>
            </w:r>
          </w:p>
        </w:tc>
      </w:tr>
      <w:tr w:rsidR="00111FCC" w:rsidRPr="003A0E1F" w:rsidTr="00C94B06">
        <w:tc>
          <w:tcPr>
            <w:tcW w:w="1951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Instrumentos de Control y Consulta Archivístico</w:t>
            </w:r>
          </w:p>
        </w:tc>
        <w:tc>
          <w:tcPr>
            <w:tcW w:w="2268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Actualización del Cuadro de Clasificación Archivística y   Catálogo de Disposición Documental, de conformidad con la estructura orgánica, funciones y procesos vigentes.</w:t>
            </w:r>
          </w:p>
        </w:tc>
        <w:tc>
          <w:tcPr>
            <w:tcW w:w="2126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Cuadro de Clasificación Archivística y   Catálogo de Disposición Documental analizados para la elaboración de las fichas técnicas de valoración documental</w:t>
            </w:r>
          </w:p>
        </w:tc>
        <w:tc>
          <w:tcPr>
            <w:tcW w:w="1985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Áreas Administrativas.</w:t>
            </w:r>
          </w:p>
        </w:tc>
      </w:tr>
      <w:tr w:rsidR="00111FCC" w:rsidRPr="003A0E1F" w:rsidTr="00C94B06">
        <w:tc>
          <w:tcPr>
            <w:tcW w:w="1951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Guía de Archivo Documental</w:t>
            </w:r>
          </w:p>
        </w:tc>
        <w:tc>
          <w:tcPr>
            <w:tcW w:w="2268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Integración de la Guía de Archivo Documental</w:t>
            </w:r>
          </w:p>
        </w:tc>
        <w:tc>
          <w:tcPr>
            <w:tcW w:w="2126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Guía de Archivo Documental actualizada.</w:t>
            </w:r>
          </w:p>
        </w:tc>
        <w:tc>
          <w:tcPr>
            <w:tcW w:w="1985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Área Coordinadora de Archivos.</w:t>
            </w:r>
          </w:p>
        </w:tc>
      </w:tr>
      <w:tr w:rsidR="00111FCC" w:rsidRPr="003A0E1F" w:rsidTr="00C94B06">
        <w:tc>
          <w:tcPr>
            <w:tcW w:w="1951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A0E1F">
              <w:rPr>
                <w:rFonts w:ascii="Cambria" w:hAnsi="Cambria" w:cs="Arial"/>
                <w:sz w:val="24"/>
                <w:szCs w:val="24"/>
              </w:rPr>
              <w:t>Inventarios Documentales</w:t>
            </w:r>
          </w:p>
        </w:tc>
        <w:tc>
          <w:tcPr>
            <w:tcW w:w="2268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A0E1F">
              <w:rPr>
                <w:rFonts w:ascii="Cambria" w:hAnsi="Cambria" w:cs="Arial"/>
                <w:sz w:val="24"/>
                <w:szCs w:val="24"/>
              </w:rPr>
              <w:t xml:space="preserve">Homogeneizar los formatos de inventario general, con la finalidad de llevar un mayor control y facilitar la búsqueda de expedientes, así como llevar un registro de las etapas en las que se </w:t>
            </w:r>
            <w:r w:rsidRPr="003A0E1F">
              <w:rPr>
                <w:rFonts w:ascii="Cambria" w:hAnsi="Cambria" w:cs="Arial"/>
                <w:sz w:val="24"/>
                <w:szCs w:val="24"/>
              </w:rPr>
              <w:lastRenderedPageBreak/>
              <w:t>encuentran los expedientes en su ciclo vital.</w:t>
            </w:r>
          </w:p>
        </w:tc>
        <w:tc>
          <w:tcPr>
            <w:tcW w:w="2126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lastRenderedPageBreak/>
              <w:t>Inventario General del Archivo de Concentración actualizado, conforme a su ubicación topográfica actual.</w:t>
            </w:r>
          </w:p>
        </w:tc>
        <w:tc>
          <w:tcPr>
            <w:tcW w:w="1985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Área Coordinadora de Archivos</w:t>
            </w:r>
          </w:p>
        </w:tc>
      </w:tr>
      <w:tr w:rsidR="00111FCC" w:rsidRPr="003A0E1F" w:rsidTr="00C94B06">
        <w:tc>
          <w:tcPr>
            <w:tcW w:w="1951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lastRenderedPageBreak/>
              <w:t>Registro del Sistema Institucional de Archivos</w:t>
            </w:r>
          </w:p>
        </w:tc>
        <w:tc>
          <w:tcPr>
            <w:tcW w:w="2268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Actualización de los nombramientos de los servidores públicos responsables de los Archivos de Trámite.</w:t>
            </w:r>
          </w:p>
        </w:tc>
        <w:tc>
          <w:tcPr>
            <w:tcW w:w="2126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Registro Actualizado del Sistema Institucional de Archivos del ITEI</w:t>
            </w:r>
          </w:p>
        </w:tc>
        <w:tc>
          <w:tcPr>
            <w:tcW w:w="1985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Área Coordinadora de Archivos.</w:t>
            </w:r>
          </w:p>
        </w:tc>
      </w:tr>
      <w:tr w:rsidR="00111FCC" w:rsidRPr="003A0E1F" w:rsidTr="00C94B06">
        <w:trPr>
          <w:trHeight w:val="3722"/>
        </w:trPr>
        <w:tc>
          <w:tcPr>
            <w:tcW w:w="1951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A0E1F">
              <w:rPr>
                <w:rFonts w:ascii="Cambria" w:hAnsi="Cambria" w:cs="Arial"/>
                <w:sz w:val="24"/>
                <w:szCs w:val="24"/>
              </w:rPr>
              <w:t>Transferencias Primarias.</w:t>
            </w:r>
          </w:p>
          <w:p w:rsidR="00111FCC" w:rsidRPr="003A0E1F" w:rsidRDefault="00111FCC" w:rsidP="00C94B0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A0E1F">
              <w:rPr>
                <w:rFonts w:ascii="Cambria" w:hAnsi="Cambria" w:cs="Arial"/>
                <w:sz w:val="24"/>
                <w:szCs w:val="24"/>
              </w:rPr>
              <w:t>Recibir  las solicitudes de transferencias  de documentos enviadas por los responsables de los archivos de trámite.</w:t>
            </w:r>
          </w:p>
        </w:tc>
        <w:tc>
          <w:tcPr>
            <w:tcW w:w="2126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Inventarios de Transferencias Primarias</w:t>
            </w:r>
          </w:p>
        </w:tc>
        <w:tc>
          <w:tcPr>
            <w:tcW w:w="1985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Unidades Administrativas/</w:t>
            </w:r>
            <w:r w:rsidR="001162F7"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Área Coordinadora de Archivos.</w:t>
            </w:r>
          </w:p>
        </w:tc>
      </w:tr>
      <w:tr w:rsidR="00111FCC" w:rsidRPr="003A0E1F" w:rsidTr="00C94B06">
        <w:trPr>
          <w:trHeight w:val="3722"/>
        </w:trPr>
        <w:tc>
          <w:tcPr>
            <w:tcW w:w="1951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Baja Documental</w:t>
            </w:r>
          </w:p>
        </w:tc>
        <w:tc>
          <w:tcPr>
            <w:tcW w:w="2268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Recibir, analizar y validar de las</w:t>
            </w:r>
          </w:p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Unidades Administrativas,       los formatos de baja de   expedientes que  cumplieron su plazo de conservación total</w:t>
            </w:r>
          </w:p>
        </w:tc>
        <w:tc>
          <w:tcPr>
            <w:tcW w:w="2126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Trámites de baja documental</w:t>
            </w:r>
          </w:p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</w:p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pct15" w:color="auto" w:fill="auto"/>
          </w:tcPr>
          <w:p w:rsidR="00111FCC" w:rsidRPr="003A0E1F" w:rsidRDefault="001162F7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Área Coordinadora de Archivos/Grupo Interdisciplinario.</w:t>
            </w:r>
          </w:p>
        </w:tc>
      </w:tr>
      <w:tr w:rsidR="00111FCC" w:rsidRPr="003A0E1F" w:rsidTr="00C94B06">
        <w:tc>
          <w:tcPr>
            <w:tcW w:w="1951" w:type="dxa"/>
            <w:shd w:val="pct15" w:color="auto" w:fill="auto"/>
          </w:tcPr>
          <w:p w:rsidR="00111FCC" w:rsidRPr="003A0E1F" w:rsidRDefault="001162F7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Sesiones del Grupo Interdisciplinario.</w:t>
            </w:r>
          </w:p>
        </w:tc>
        <w:tc>
          <w:tcPr>
            <w:tcW w:w="2268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Llevar a cabo las sesiones programadas conforme al calendario establecido para este ejercicio fiscal.</w:t>
            </w:r>
          </w:p>
        </w:tc>
        <w:tc>
          <w:tcPr>
            <w:tcW w:w="2126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Actas, Acuerdos, proyectos y seguimientos</w:t>
            </w:r>
          </w:p>
        </w:tc>
        <w:tc>
          <w:tcPr>
            <w:tcW w:w="1985" w:type="dxa"/>
            <w:shd w:val="pct15" w:color="auto" w:fill="auto"/>
          </w:tcPr>
          <w:p w:rsidR="00111FCC" w:rsidRPr="003A0E1F" w:rsidRDefault="001162F7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Área Coordinadora de Archivo/Grupo Interdisciplinario.</w:t>
            </w:r>
          </w:p>
        </w:tc>
      </w:tr>
      <w:tr w:rsidR="00111FCC" w:rsidRPr="003A0E1F" w:rsidTr="00C94B06">
        <w:tc>
          <w:tcPr>
            <w:tcW w:w="1951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Asistencia Técnica</w:t>
            </w:r>
          </w:p>
        </w:tc>
        <w:tc>
          <w:tcPr>
            <w:tcW w:w="2268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hAnsi="Cambria" w:cs="Arial"/>
                <w:sz w:val="24"/>
                <w:szCs w:val="24"/>
              </w:rPr>
              <w:t>Asesorar a  las Unidades Administrativas que así  lo requieran para la operación de los Archivos de Trámite</w:t>
            </w:r>
          </w:p>
        </w:tc>
        <w:tc>
          <w:tcPr>
            <w:tcW w:w="2126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Solicitudes.</w:t>
            </w:r>
          </w:p>
        </w:tc>
        <w:tc>
          <w:tcPr>
            <w:tcW w:w="1985" w:type="dxa"/>
            <w:shd w:val="pct15" w:color="auto" w:fill="auto"/>
          </w:tcPr>
          <w:p w:rsidR="00111FCC" w:rsidRPr="003A0E1F" w:rsidRDefault="001162F7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Área Coordinadora de Archivos.</w:t>
            </w:r>
          </w:p>
        </w:tc>
      </w:tr>
      <w:tr w:rsidR="00111FCC" w:rsidRPr="003A0E1F" w:rsidTr="00C94B06">
        <w:tc>
          <w:tcPr>
            <w:tcW w:w="1951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Mejoras al Inmueble del Archivo de Concentración</w:t>
            </w:r>
          </w:p>
        </w:tc>
        <w:tc>
          <w:tcPr>
            <w:tcW w:w="2268" w:type="dxa"/>
            <w:shd w:val="pct15" w:color="auto" w:fill="auto"/>
          </w:tcPr>
          <w:p w:rsidR="00111FCC" w:rsidRPr="003A0E1F" w:rsidRDefault="00111FCC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Gestionar mejoras o cambios al inmueble destinado al Archivo de Concentración.</w:t>
            </w:r>
          </w:p>
        </w:tc>
        <w:tc>
          <w:tcPr>
            <w:tcW w:w="2126" w:type="dxa"/>
            <w:shd w:val="pct15" w:color="auto" w:fill="auto"/>
          </w:tcPr>
          <w:p w:rsidR="00111FCC" w:rsidRPr="003A0E1F" w:rsidRDefault="001162F7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Adecuación de las instalaciones para concentrar el archivo de trámite.</w:t>
            </w:r>
          </w:p>
        </w:tc>
        <w:tc>
          <w:tcPr>
            <w:tcW w:w="1985" w:type="dxa"/>
            <w:shd w:val="pct15" w:color="auto" w:fill="auto"/>
          </w:tcPr>
          <w:p w:rsidR="00111FCC" w:rsidRPr="003A0E1F" w:rsidRDefault="00C94B06" w:rsidP="00C94B06">
            <w:pPr>
              <w:jc w:val="center"/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</w:pPr>
            <w:r w:rsidRPr="003A0E1F">
              <w:rPr>
                <w:rFonts w:ascii="Cambria" w:eastAsiaTheme="majorEastAsia" w:hAnsi="Cambria" w:cs="Arial"/>
                <w:color w:val="000000" w:themeColor="text1"/>
                <w:sz w:val="24"/>
                <w:szCs w:val="24"/>
              </w:rPr>
              <w:t>Dirección General, Dirección Administrativa, Unidad Centralizada de Compras.</w:t>
            </w:r>
          </w:p>
        </w:tc>
      </w:tr>
    </w:tbl>
    <w:p w:rsidR="003260B7" w:rsidRDefault="003260B7" w:rsidP="003260B7">
      <w:pPr>
        <w:jc w:val="both"/>
        <w:rPr>
          <w:rFonts w:ascii="Cambria" w:hAnsi="Cambria"/>
          <w:sz w:val="24"/>
          <w:szCs w:val="24"/>
          <w:lang w:val="es-MX"/>
        </w:rPr>
      </w:pPr>
    </w:p>
    <w:p w:rsidR="003A0E1F" w:rsidRPr="003A0E1F" w:rsidRDefault="003A0E1F" w:rsidP="003A0E1F">
      <w:pPr>
        <w:jc w:val="center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>CRONOGRAMA:</w:t>
      </w:r>
    </w:p>
    <w:p w:rsidR="00C94B06" w:rsidRPr="003A0E1F" w:rsidRDefault="00F5027F" w:rsidP="003260B7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3A0E1F">
        <w:rPr>
          <w:rFonts w:ascii="Cambria" w:hAnsi="Cambria"/>
          <w:b/>
          <w:sz w:val="24"/>
          <w:szCs w:val="24"/>
        </w:rPr>
        <w:drawing>
          <wp:inline distT="0" distB="0" distL="0" distR="0">
            <wp:extent cx="5971862" cy="41713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83" cy="41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1F" w:rsidRDefault="003A0E1F" w:rsidP="003A0E1F">
      <w:pPr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F5027F" w:rsidRPr="003A0E1F" w:rsidRDefault="003A0E1F" w:rsidP="003A0E1F">
      <w:pPr>
        <w:jc w:val="center"/>
        <w:rPr>
          <w:rFonts w:ascii="Cambria" w:hAnsi="Cambria"/>
          <w:b/>
          <w:sz w:val="24"/>
          <w:szCs w:val="24"/>
          <w:lang w:val="es-ES"/>
        </w:rPr>
      </w:pPr>
      <w:r w:rsidRPr="003A0E1F">
        <w:rPr>
          <w:rFonts w:ascii="Cambria" w:hAnsi="Cambria"/>
          <w:b/>
          <w:sz w:val="24"/>
          <w:szCs w:val="24"/>
          <w:lang w:val="es-ES"/>
        </w:rPr>
        <w:t>RECURSOS HUMANOS, MATERIALES Y COSTOS:</w:t>
      </w:r>
    </w:p>
    <w:p w:rsidR="00F5027F" w:rsidRPr="003A0E1F" w:rsidRDefault="003A0E1F" w:rsidP="00F5027F">
      <w:pPr>
        <w:ind w:firstLine="720"/>
        <w:jc w:val="both"/>
        <w:rPr>
          <w:rFonts w:ascii="Cambria" w:hAnsi="Cambria"/>
          <w:b/>
          <w:sz w:val="24"/>
          <w:szCs w:val="24"/>
          <w:lang w:val="es-ES"/>
        </w:rPr>
      </w:pPr>
      <w:r w:rsidRPr="003A0E1F">
        <w:rPr>
          <w:rFonts w:ascii="Cambria" w:hAnsi="Cambria"/>
          <w:b/>
          <w:sz w:val="24"/>
          <w:szCs w:val="24"/>
          <w:lang w:val="es-MX"/>
        </w:rPr>
        <w:t>Recursos Humanos:</w:t>
      </w:r>
      <w:r>
        <w:rPr>
          <w:rFonts w:ascii="Cambria" w:hAnsi="Cambria"/>
          <w:sz w:val="24"/>
          <w:szCs w:val="24"/>
          <w:lang w:val="es-MX"/>
        </w:rPr>
        <w:t xml:space="preserve"> </w:t>
      </w:r>
      <w:r w:rsidR="00F5027F" w:rsidRPr="003A0E1F">
        <w:rPr>
          <w:rFonts w:ascii="Cambria" w:hAnsi="Cambria"/>
          <w:sz w:val="24"/>
          <w:szCs w:val="24"/>
          <w:lang w:val="es-MX"/>
        </w:rPr>
        <w:t>Los recursos humanos para la operación de los Archivos de Trámite son asignados por las Unidades Administrativas, requiriéndose de un servidor público por cada una de ellas; por lo que hace al Archivo de Concentración deberá contar, como mínimo, además del Coordinador de Archivos para lograr su óptimo funcionamiento</w:t>
      </w:r>
    </w:p>
    <w:p w:rsidR="00F5027F" w:rsidRPr="003A0E1F" w:rsidRDefault="003A0E1F" w:rsidP="00F5027F">
      <w:pPr>
        <w:ind w:firstLine="360"/>
        <w:jc w:val="both"/>
        <w:rPr>
          <w:rFonts w:ascii="Cambria" w:hAnsi="Cambria"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 xml:space="preserve">Recursos Materiales: </w:t>
      </w:r>
      <w:r w:rsidR="00F5027F" w:rsidRPr="003A0E1F">
        <w:rPr>
          <w:rFonts w:ascii="Cambria" w:hAnsi="Cambria"/>
          <w:sz w:val="24"/>
          <w:szCs w:val="24"/>
          <w:lang w:val="es-MX"/>
        </w:rPr>
        <w:t>Para un adecuado funcionamiento del Sistema Institucional de Archivos, se requiere dotar a éste de los siguientes bienes y servicios:</w:t>
      </w:r>
    </w:p>
    <w:p w:rsidR="00F5027F" w:rsidRPr="003A0E1F" w:rsidRDefault="00F5027F" w:rsidP="003A0E1F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Un Escritorio con una silla.</w:t>
      </w:r>
    </w:p>
    <w:p w:rsidR="00F5027F" w:rsidRPr="003A0E1F" w:rsidRDefault="00F5027F" w:rsidP="003A0E1F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Una Computadora de escritorio.</w:t>
      </w:r>
    </w:p>
    <w:p w:rsidR="00F5027F" w:rsidRPr="003A0E1F" w:rsidRDefault="00F5027F" w:rsidP="003A0E1F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Un Escáner óptimo.</w:t>
      </w:r>
    </w:p>
    <w:p w:rsidR="00F5027F" w:rsidRPr="003A0E1F" w:rsidRDefault="00F5027F" w:rsidP="003A0E1F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Internet para Archivo de Concentración.</w:t>
      </w:r>
    </w:p>
    <w:p w:rsidR="00F5027F" w:rsidRPr="003A0E1F" w:rsidRDefault="00F5027F" w:rsidP="003A0E1F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20 Cajas de Archivo.</w:t>
      </w:r>
    </w:p>
    <w:p w:rsidR="00F5027F" w:rsidRPr="003A0E1F" w:rsidRDefault="00F5027F" w:rsidP="003A0E1F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Servicio de Limpieza por lo menos una vez a la semana</w:t>
      </w:r>
    </w:p>
    <w:p w:rsidR="00F5027F" w:rsidRPr="003A0E1F" w:rsidRDefault="00F5027F" w:rsidP="003A0E1F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Señalamiento para el Archivo de Concentración</w:t>
      </w:r>
    </w:p>
    <w:p w:rsidR="00F5027F" w:rsidRPr="003A0E1F" w:rsidRDefault="00F5027F" w:rsidP="003A0E1F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Mobiliario adaptado a las instalaciones que soporte las cajas de archivo.</w:t>
      </w:r>
    </w:p>
    <w:p w:rsidR="00F5027F" w:rsidRPr="003A0E1F" w:rsidRDefault="00F5027F" w:rsidP="003A0E1F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 xml:space="preserve">Escalera para alcanzar los anaqueles. </w:t>
      </w:r>
    </w:p>
    <w:p w:rsidR="00F5027F" w:rsidRPr="003A0E1F" w:rsidRDefault="00F5027F" w:rsidP="003A0E1F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Dos discos duros extraíbles para hacer el resguardo de la digitalización de documentos.</w:t>
      </w:r>
    </w:p>
    <w:p w:rsidR="003A0E1F" w:rsidRPr="003A0E1F" w:rsidRDefault="00F5027F" w:rsidP="003A0E1F">
      <w:pPr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Extintor.</w:t>
      </w:r>
    </w:p>
    <w:p w:rsidR="003A0E1F" w:rsidRPr="003A0E1F" w:rsidRDefault="003A0E1F" w:rsidP="003A0E1F">
      <w:pPr>
        <w:ind w:left="360" w:firstLine="360"/>
        <w:jc w:val="both"/>
        <w:rPr>
          <w:rFonts w:ascii="Cambria" w:hAnsi="Cambria"/>
          <w:sz w:val="24"/>
          <w:szCs w:val="24"/>
          <w:lang w:val="es-ES"/>
        </w:rPr>
      </w:pPr>
      <w:r w:rsidRPr="003A0E1F">
        <w:rPr>
          <w:rFonts w:ascii="Cambria" w:hAnsi="Cambria"/>
          <w:b/>
          <w:sz w:val="24"/>
          <w:szCs w:val="24"/>
          <w:lang w:val="es-MX"/>
        </w:rPr>
        <w:lastRenderedPageBreak/>
        <w:t>Costos:</w:t>
      </w:r>
      <w:r>
        <w:rPr>
          <w:rFonts w:ascii="Cambria" w:hAnsi="Cambria"/>
          <w:sz w:val="24"/>
          <w:szCs w:val="24"/>
          <w:lang w:val="es-MX"/>
        </w:rPr>
        <w:t xml:space="preserve"> </w:t>
      </w:r>
      <w:r w:rsidRPr="003A0E1F">
        <w:rPr>
          <w:rFonts w:ascii="Cambria" w:hAnsi="Cambria"/>
          <w:sz w:val="24"/>
          <w:szCs w:val="24"/>
          <w:lang w:val="es-ES"/>
        </w:rPr>
        <w:t xml:space="preserve">Los costos serán determinados según las cotizaciones que se lleven a cabo, sin </w:t>
      </w:r>
      <w:proofErr w:type="gramStart"/>
      <w:r w:rsidRPr="003A0E1F">
        <w:rPr>
          <w:rFonts w:ascii="Cambria" w:hAnsi="Cambria"/>
          <w:sz w:val="24"/>
          <w:szCs w:val="24"/>
          <w:lang w:val="es-ES"/>
        </w:rPr>
        <w:t>embargo</w:t>
      </w:r>
      <w:proofErr w:type="gramEnd"/>
      <w:r w:rsidRPr="003A0E1F">
        <w:rPr>
          <w:rFonts w:ascii="Cambria" w:hAnsi="Cambria"/>
          <w:sz w:val="24"/>
          <w:szCs w:val="24"/>
          <w:lang w:val="es-ES"/>
        </w:rPr>
        <w:t xml:space="preserve"> deberán ajustarse al presupuesto aprobado 2022.</w:t>
      </w:r>
    </w:p>
    <w:p w:rsidR="003A0E1F" w:rsidRDefault="003A0E1F" w:rsidP="003A0E1F">
      <w:pPr>
        <w:ind w:left="360"/>
        <w:jc w:val="center"/>
        <w:rPr>
          <w:rFonts w:ascii="Cambria" w:hAnsi="Cambria"/>
          <w:b/>
          <w:sz w:val="24"/>
          <w:szCs w:val="24"/>
          <w:lang w:val="es-ES"/>
        </w:rPr>
      </w:pPr>
    </w:p>
    <w:p w:rsidR="003A0E1F" w:rsidRPr="003A0E1F" w:rsidRDefault="003A0E1F" w:rsidP="003A0E1F">
      <w:pPr>
        <w:ind w:left="360"/>
        <w:jc w:val="center"/>
        <w:rPr>
          <w:rFonts w:ascii="Cambria" w:hAnsi="Cambria"/>
          <w:b/>
          <w:sz w:val="24"/>
          <w:szCs w:val="24"/>
          <w:lang w:val="es-ES"/>
        </w:rPr>
      </w:pPr>
      <w:r w:rsidRPr="003A0E1F">
        <w:rPr>
          <w:rFonts w:ascii="Cambria" w:hAnsi="Cambria"/>
          <w:b/>
          <w:sz w:val="24"/>
          <w:szCs w:val="24"/>
          <w:lang w:val="es-ES"/>
        </w:rPr>
        <w:t>ANÁLISIS DE RIESGOS.</w:t>
      </w:r>
    </w:p>
    <w:p w:rsidR="00F5027F" w:rsidRDefault="00F5027F" w:rsidP="003A0E1F">
      <w:pPr>
        <w:ind w:firstLine="360"/>
        <w:jc w:val="both"/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Con la finalidad de identificar, jerarquizar y evaluar las amenazas que pudieran obstaculizar el desarrollo de las actividades para cumplir los objetivos del PADA 2022, mismos que a continuación se señalan:</w:t>
      </w:r>
    </w:p>
    <w:p w:rsidR="003A0E1F" w:rsidRPr="003A0E1F" w:rsidRDefault="003A0E1F" w:rsidP="003A0E1F">
      <w:pPr>
        <w:ind w:firstLine="360"/>
        <w:jc w:val="both"/>
        <w:rPr>
          <w:rFonts w:ascii="Cambria" w:hAnsi="Cambria"/>
          <w:b/>
          <w:sz w:val="24"/>
          <w:szCs w:val="24"/>
          <w:lang w:val="es-ES"/>
        </w:rPr>
      </w:pPr>
    </w:p>
    <w:tbl>
      <w:tblPr>
        <w:tblStyle w:val="Tablaconcuadrcula"/>
        <w:tblW w:w="8864" w:type="dxa"/>
        <w:tblLook w:val="04A0" w:firstRow="1" w:lastRow="0" w:firstColumn="1" w:lastColumn="0" w:noHBand="0" w:noVBand="1"/>
      </w:tblPr>
      <w:tblGrid>
        <w:gridCol w:w="1972"/>
        <w:gridCol w:w="2985"/>
        <w:gridCol w:w="1265"/>
        <w:gridCol w:w="2642"/>
      </w:tblGrid>
      <w:tr w:rsidR="003A0E1F" w:rsidRPr="003A0E1F" w:rsidTr="003A0E1F">
        <w:tc>
          <w:tcPr>
            <w:tcW w:w="1972" w:type="dxa"/>
          </w:tcPr>
          <w:p w:rsidR="00F5027F" w:rsidRPr="003A0E1F" w:rsidRDefault="003A0E1F" w:rsidP="003A0E1F">
            <w:pPr>
              <w:spacing w:after="160" w:line="259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A0E1F">
              <w:rPr>
                <w:rFonts w:ascii="Cambria" w:hAnsi="Cambria"/>
                <w:b/>
                <w:sz w:val="24"/>
                <w:szCs w:val="24"/>
              </w:rPr>
              <w:t>RIESGO</w:t>
            </w:r>
          </w:p>
        </w:tc>
        <w:tc>
          <w:tcPr>
            <w:tcW w:w="2985" w:type="dxa"/>
          </w:tcPr>
          <w:p w:rsidR="00F5027F" w:rsidRPr="003A0E1F" w:rsidRDefault="003A0E1F" w:rsidP="003A0E1F">
            <w:pPr>
              <w:spacing w:after="160" w:line="259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A0E1F">
              <w:rPr>
                <w:rFonts w:ascii="Cambria" w:hAnsi="Cambria"/>
                <w:b/>
                <w:sz w:val="24"/>
                <w:szCs w:val="24"/>
              </w:rPr>
              <w:t>FACTOR DE RIESGO</w:t>
            </w:r>
          </w:p>
        </w:tc>
        <w:tc>
          <w:tcPr>
            <w:tcW w:w="1265" w:type="dxa"/>
          </w:tcPr>
          <w:p w:rsidR="00F5027F" w:rsidRPr="003A0E1F" w:rsidRDefault="003A0E1F" w:rsidP="003A0E1F">
            <w:pPr>
              <w:spacing w:after="160" w:line="259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A0E1F">
              <w:rPr>
                <w:rFonts w:ascii="Cambria" w:hAnsi="Cambria"/>
                <w:b/>
                <w:sz w:val="24"/>
                <w:szCs w:val="24"/>
              </w:rPr>
              <w:t>IMPACTO</w:t>
            </w:r>
          </w:p>
        </w:tc>
        <w:tc>
          <w:tcPr>
            <w:tcW w:w="2642" w:type="dxa"/>
          </w:tcPr>
          <w:p w:rsidR="00F5027F" w:rsidRPr="003A0E1F" w:rsidRDefault="003A0E1F" w:rsidP="003A0E1F">
            <w:pPr>
              <w:spacing w:after="160" w:line="259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A0E1F">
              <w:rPr>
                <w:rFonts w:ascii="Cambria" w:hAnsi="Cambria"/>
                <w:b/>
                <w:sz w:val="24"/>
                <w:szCs w:val="24"/>
              </w:rPr>
              <w:t>ACCIONES DE REDUCCIÓN DE AMENAZAS.</w:t>
            </w:r>
          </w:p>
        </w:tc>
      </w:tr>
      <w:tr w:rsidR="003A0E1F" w:rsidRPr="003A0E1F" w:rsidTr="003A0E1F">
        <w:tc>
          <w:tcPr>
            <w:tcW w:w="1972" w:type="dxa"/>
          </w:tcPr>
          <w:p w:rsidR="00F5027F" w:rsidRPr="003A0E1F" w:rsidRDefault="00F5027F" w:rsidP="003A0E1F">
            <w:pPr>
              <w:spacing w:after="160" w:line="259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0E1F">
              <w:rPr>
                <w:rFonts w:ascii="Cambria" w:hAnsi="Cambria"/>
                <w:sz w:val="24"/>
                <w:szCs w:val="24"/>
              </w:rPr>
              <w:t>Incumplimiento del PADA 2022.</w:t>
            </w:r>
          </w:p>
        </w:tc>
        <w:tc>
          <w:tcPr>
            <w:tcW w:w="2985" w:type="dxa"/>
          </w:tcPr>
          <w:p w:rsidR="00F5027F" w:rsidRPr="003A0E1F" w:rsidRDefault="003A0E1F" w:rsidP="003A0E1F">
            <w:pPr>
              <w:spacing w:after="160" w:line="259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0E1F">
              <w:rPr>
                <w:rFonts w:ascii="Cambria" w:hAnsi="Cambria"/>
                <w:sz w:val="24"/>
                <w:szCs w:val="24"/>
              </w:rPr>
              <w:t>Falta de personal designado al Área Coordinadora de Archivo.</w:t>
            </w:r>
          </w:p>
        </w:tc>
        <w:tc>
          <w:tcPr>
            <w:tcW w:w="1265" w:type="dxa"/>
          </w:tcPr>
          <w:p w:rsidR="00F5027F" w:rsidRPr="003A0E1F" w:rsidRDefault="00F5027F" w:rsidP="003A0E1F">
            <w:pPr>
              <w:spacing w:after="160" w:line="259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0E1F">
              <w:rPr>
                <w:rFonts w:ascii="Cambria" w:hAnsi="Cambria"/>
                <w:sz w:val="24"/>
                <w:szCs w:val="24"/>
              </w:rPr>
              <w:t>Alto</w:t>
            </w:r>
          </w:p>
        </w:tc>
        <w:tc>
          <w:tcPr>
            <w:tcW w:w="2642" w:type="dxa"/>
          </w:tcPr>
          <w:p w:rsidR="00F5027F" w:rsidRPr="003A0E1F" w:rsidRDefault="003A0E1F" w:rsidP="003A0E1F">
            <w:pPr>
              <w:spacing w:after="160" w:line="259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0E1F">
              <w:rPr>
                <w:rFonts w:ascii="Cambria" w:hAnsi="Cambria"/>
                <w:sz w:val="24"/>
                <w:szCs w:val="24"/>
              </w:rPr>
              <w:t>Suplencia de actividades por parte de las áreas administrativas.</w:t>
            </w:r>
          </w:p>
        </w:tc>
      </w:tr>
      <w:tr w:rsidR="003A0E1F" w:rsidRPr="003A0E1F" w:rsidTr="003A0E1F">
        <w:tc>
          <w:tcPr>
            <w:tcW w:w="1972" w:type="dxa"/>
          </w:tcPr>
          <w:p w:rsidR="00F5027F" w:rsidRPr="003A0E1F" w:rsidRDefault="00F5027F" w:rsidP="003A0E1F">
            <w:pPr>
              <w:spacing w:after="160" w:line="259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0E1F">
              <w:rPr>
                <w:rFonts w:ascii="Cambria" w:hAnsi="Cambria"/>
                <w:sz w:val="24"/>
                <w:szCs w:val="24"/>
              </w:rPr>
              <w:t>Documentación resguardada de manera inadecuada.</w:t>
            </w:r>
          </w:p>
        </w:tc>
        <w:tc>
          <w:tcPr>
            <w:tcW w:w="2985" w:type="dxa"/>
          </w:tcPr>
          <w:p w:rsidR="00F5027F" w:rsidRPr="003A0E1F" w:rsidRDefault="00F5027F" w:rsidP="003A0E1F">
            <w:pPr>
              <w:spacing w:after="160" w:line="259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0E1F">
              <w:rPr>
                <w:rFonts w:ascii="Cambria" w:hAnsi="Cambria"/>
                <w:sz w:val="24"/>
                <w:szCs w:val="24"/>
              </w:rPr>
              <w:t>Carencia de espacios suficientes, carencia de recursos humanos y materiales.</w:t>
            </w:r>
          </w:p>
        </w:tc>
        <w:tc>
          <w:tcPr>
            <w:tcW w:w="1265" w:type="dxa"/>
          </w:tcPr>
          <w:p w:rsidR="00F5027F" w:rsidRPr="003A0E1F" w:rsidRDefault="00F5027F" w:rsidP="003A0E1F">
            <w:pPr>
              <w:spacing w:after="160" w:line="259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0E1F">
              <w:rPr>
                <w:rFonts w:ascii="Cambria" w:hAnsi="Cambria"/>
                <w:sz w:val="24"/>
                <w:szCs w:val="24"/>
              </w:rPr>
              <w:t>Alto</w:t>
            </w:r>
          </w:p>
        </w:tc>
        <w:tc>
          <w:tcPr>
            <w:tcW w:w="2642" w:type="dxa"/>
          </w:tcPr>
          <w:p w:rsidR="00F5027F" w:rsidRPr="003A0E1F" w:rsidRDefault="00F5027F" w:rsidP="003A0E1F">
            <w:pPr>
              <w:spacing w:after="160" w:line="259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A0E1F">
              <w:rPr>
                <w:rFonts w:ascii="Cambria" w:hAnsi="Cambria"/>
                <w:sz w:val="24"/>
                <w:szCs w:val="24"/>
              </w:rPr>
              <w:t xml:space="preserve">Gestionar </w:t>
            </w:r>
            <w:r w:rsidR="003A0E1F" w:rsidRPr="003A0E1F">
              <w:rPr>
                <w:rFonts w:ascii="Cambria" w:hAnsi="Cambria"/>
                <w:sz w:val="24"/>
                <w:szCs w:val="24"/>
              </w:rPr>
              <w:t>recursos y</w:t>
            </w:r>
            <w:r w:rsidRPr="003A0E1F">
              <w:rPr>
                <w:rFonts w:ascii="Cambria" w:hAnsi="Cambria"/>
                <w:sz w:val="24"/>
                <w:szCs w:val="24"/>
              </w:rPr>
              <w:t xml:space="preserve"> mejoras al inmueble.</w:t>
            </w:r>
          </w:p>
          <w:p w:rsidR="00F5027F" w:rsidRPr="003A0E1F" w:rsidRDefault="00F5027F" w:rsidP="003A0E1F">
            <w:pPr>
              <w:spacing w:after="160" w:line="259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5027F" w:rsidRPr="003A0E1F" w:rsidRDefault="00F5027F" w:rsidP="00F5027F">
      <w:pPr>
        <w:jc w:val="both"/>
        <w:rPr>
          <w:rFonts w:ascii="Cambria" w:hAnsi="Cambria"/>
          <w:b/>
          <w:sz w:val="24"/>
          <w:szCs w:val="24"/>
          <w:lang w:val="es-MX"/>
        </w:rPr>
      </w:pPr>
    </w:p>
    <w:p w:rsidR="00F5027F" w:rsidRPr="003A0E1F" w:rsidRDefault="003A0E1F" w:rsidP="003A0E1F">
      <w:pPr>
        <w:jc w:val="center"/>
        <w:rPr>
          <w:rFonts w:ascii="Cambria" w:hAnsi="Cambria"/>
          <w:b/>
          <w:sz w:val="24"/>
          <w:szCs w:val="24"/>
          <w:lang w:val="es-ES"/>
        </w:rPr>
      </w:pPr>
      <w:r w:rsidRPr="003A0E1F">
        <w:rPr>
          <w:rFonts w:ascii="Cambria" w:hAnsi="Cambria"/>
          <w:b/>
          <w:sz w:val="24"/>
          <w:szCs w:val="24"/>
          <w:lang w:val="es-ES"/>
        </w:rPr>
        <w:t>MARCO NORMATIVO.</w:t>
      </w:r>
    </w:p>
    <w:p w:rsidR="00F5027F" w:rsidRPr="003A0E1F" w:rsidRDefault="00F5027F" w:rsidP="003A0E1F">
      <w:pPr>
        <w:numPr>
          <w:ilvl w:val="0"/>
          <w:numId w:val="6"/>
        </w:numPr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Constitución Política de los Estados Unidos Mexicanos</w:t>
      </w:r>
    </w:p>
    <w:p w:rsidR="00F5027F" w:rsidRPr="003A0E1F" w:rsidRDefault="00F5027F" w:rsidP="003A0E1F">
      <w:pPr>
        <w:numPr>
          <w:ilvl w:val="0"/>
          <w:numId w:val="6"/>
        </w:numPr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 xml:space="preserve">Constitución Política del Estado de Jalisco,  </w:t>
      </w:r>
    </w:p>
    <w:p w:rsidR="00F5027F" w:rsidRPr="003A0E1F" w:rsidRDefault="00F5027F" w:rsidP="003A0E1F">
      <w:pPr>
        <w:numPr>
          <w:ilvl w:val="0"/>
          <w:numId w:val="6"/>
        </w:numPr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Ley General de Archivos</w:t>
      </w:r>
    </w:p>
    <w:p w:rsidR="00F5027F" w:rsidRPr="003A0E1F" w:rsidRDefault="00F5027F" w:rsidP="003A0E1F">
      <w:pPr>
        <w:numPr>
          <w:ilvl w:val="0"/>
          <w:numId w:val="6"/>
        </w:numPr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Ley de Archivos del Estado de Jalisco y sus Municipios</w:t>
      </w:r>
    </w:p>
    <w:p w:rsidR="00F5027F" w:rsidRPr="003A0E1F" w:rsidRDefault="00F5027F" w:rsidP="003A0E1F">
      <w:pPr>
        <w:numPr>
          <w:ilvl w:val="0"/>
          <w:numId w:val="6"/>
        </w:numPr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Ley General de Transparencia y Acceso a la Información Pública</w:t>
      </w:r>
    </w:p>
    <w:p w:rsidR="00F5027F" w:rsidRPr="003A0E1F" w:rsidRDefault="00F5027F" w:rsidP="003A0E1F">
      <w:pPr>
        <w:numPr>
          <w:ilvl w:val="0"/>
          <w:numId w:val="6"/>
        </w:numPr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Ley de Transparencia y Acceso a la Información Pública del Estado de Jalisco y sus Municipios,</w:t>
      </w:r>
    </w:p>
    <w:p w:rsidR="00F5027F" w:rsidRPr="003A0E1F" w:rsidRDefault="00F5027F" w:rsidP="003A0E1F">
      <w:pPr>
        <w:numPr>
          <w:ilvl w:val="0"/>
          <w:numId w:val="6"/>
        </w:numPr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Ley Federal de Protección de Datos Personales en Posesión de los Particulares.</w:t>
      </w:r>
    </w:p>
    <w:p w:rsidR="00F5027F" w:rsidRPr="003A0E1F" w:rsidRDefault="00F5027F" w:rsidP="003A0E1F">
      <w:pPr>
        <w:numPr>
          <w:ilvl w:val="0"/>
          <w:numId w:val="6"/>
        </w:numPr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Ley de Protección de Datos Personales en Posesión de Sujetos Obligados del Estado de Jalisco y sus Municipios</w:t>
      </w:r>
    </w:p>
    <w:p w:rsidR="00F5027F" w:rsidRPr="003A0E1F" w:rsidRDefault="00F5027F" w:rsidP="003A0E1F">
      <w:pPr>
        <w:numPr>
          <w:ilvl w:val="0"/>
          <w:numId w:val="6"/>
        </w:numPr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Reglamento de la Ley de Transparencia y Acceso a la Información Pública del Estado de Jalisco y sus Municipios</w:t>
      </w:r>
    </w:p>
    <w:p w:rsidR="00F5027F" w:rsidRPr="003A0E1F" w:rsidRDefault="00F5027F" w:rsidP="003A0E1F">
      <w:pPr>
        <w:numPr>
          <w:ilvl w:val="0"/>
          <w:numId w:val="6"/>
        </w:numPr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Reglamento de la Ley Federal de Archivos</w:t>
      </w:r>
    </w:p>
    <w:p w:rsidR="00F5027F" w:rsidRPr="003A0E1F" w:rsidRDefault="00F5027F" w:rsidP="003A0E1F">
      <w:pPr>
        <w:numPr>
          <w:ilvl w:val="0"/>
          <w:numId w:val="6"/>
        </w:numPr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Reglamento Interior del Instituto de Transparencia e Información Pública de Jalisco</w:t>
      </w:r>
    </w:p>
    <w:p w:rsidR="00F5027F" w:rsidRPr="003A0E1F" w:rsidRDefault="00F5027F" w:rsidP="003A0E1F">
      <w:pPr>
        <w:numPr>
          <w:ilvl w:val="0"/>
          <w:numId w:val="6"/>
        </w:numPr>
        <w:rPr>
          <w:rFonts w:ascii="Cambria" w:hAnsi="Cambria"/>
          <w:sz w:val="24"/>
          <w:szCs w:val="24"/>
          <w:lang w:val="es-MX"/>
        </w:rPr>
      </w:pPr>
      <w:r w:rsidRPr="003A0E1F">
        <w:rPr>
          <w:rFonts w:ascii="Cambria" w:hAnsi="Cambria"/>
          <w:sz w:val="24"/>
          <w:szCs w:val="24"/>
          <w:lang w:val="es-MX"/>
        </w:rPr>
        <w:t>Lineamientos para la Organización y Conservación de los Archivos.</w:t>
      </w:r>
    </w:p>
    <w:p w:rsidR="00F5027F" w:rsidRPr="003A0E1F" w:rsidRDefault="00F5027F" w:rsidP="00F5027F">
      <w:pPr>
        <w:jc w:val="both"/>
        <w:rPr>
          <w:rFonts w:ascii="Cambria" w:hAnsi="Cambria"/>
          <w:b/>
          <w:sz w:val="24"/>
          <w:szCs w:val="24"/>
          <w:lang w:val="es-MX"/>
        </w:rPr>
      </w:pPr>
    </w:p>
    <w:p w:rsidR="00F5027F" w:rsidRPr="003A0E1F" w:rsidRDefault="00F5027F" w:rsidP="00F5027F">
      <w:pPr>
        <w:jc w:val="both"/>
        <w:rPr>
          <w:rFonts w:ascii="Cambria" w:hAnsi="Cambria"/>
          <w:sz w:val="24"/>
          <w:szCs w:val="24"/>
          <w:lang w:val="es-MX"/>
        </w:rPr>
      </w:pPr>
    </w:p>
    <w:p w:rsidR="00F5027F" w:rsidRPr="003A0E1F" w:rsidRDefault="00F5027F" w:rsidP="003260B7">
      <w:pPr>
        <w:jc w:val="both"/>
        <w:rPr>
          <w:rFonts w:ascii="Cambria" w:hAnsi="Cambria"/>
          <w:sz w:val="24"/>
          <w:szCs w:val="24"/>
          <w:lang w:val="es-MX"/>
        </w:rPr>
      </w:pPr>
      <w:bookmarkStart w:id="0" w:name="_GoBack"/>
      <w:bookmarkEnd w:id="0"/>
    </w:p>
    <w:sectPr w:rsidR="00F5027F" w:rsidRPr="003A0E1F" w:rsidSect="0043400A">
      <w:headerReference w:type="default" r:id="rId8"/>
      <w:footerReference w:type="default" r:id="rId9"/>
      <w:pgSz w:w="12240" w:h="20160" w:code="5"/>
      <w:pgMar w:top="1417" w:right="1701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31" w:rsidRDefault="001B4631" w:rsidP="003A0E1F">
      <w:pPr>
        <w:spacing w:after="0" w:line="240" w:lineRule="auto"/>
      </w:pPr>
      <w:r>
        <w:separator/>
      </w:r>
    </w:p>
  </w:endnote>
  <w:endnote w:type="continuationSeparator" w:id="0">
    <w:p w:rsidR="001B4631" w:rsidRDefault="001B4631" w:rsidP="003A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1F" w:rsidRPr="00303138" w:rsidRDefault="003A0E1F" w:rsidP="00303138">
    <w:pPr>
      <w:pStyle w:val="Piedepgina"/>
      <w:jc w:val="center"/>
      <w:rPr>
        <w:b/>
        <w:sz w:val="16"/>
        <w:szCs w:val="16"/>
        <w:lang w:val="es-ES"/>
      </w:rPr>
    </w:pPr>
    <w:r w:rsidRPr="00303138">
      <w:rPr>
        <w:b/>
        <w:sz w:val="16"/>
        <w:szCs w:val="16"/>
        <w:lang w:val="es-ES"/>
      </w:rPr>
      <w:t xml:space="preserve">PROGRAMA ANUAL DE DESARROLLO ARCHIVISTICO </w:t>
    </w:r>
    <w:r w:rsidR="00303138" w:rsidRPr="00303138">
      <w:rPr>
        <w:b/>
        <w:sz w:val="16"/>
        <w:szCs w:val="16"/>
        <w:lang w:val="es-ES"/>
      </w:rPr>
      <w:t>(PADA) 2022 DEL CENDI TLAJOMULCO.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31" w:rsidRDefault="001B4631" w:rsidP="003A0E1F">
      <w:pPr>
        <w:spacing w:after="0" w:line="240" w:lineRule="auto"/>
      </w:pPr>
      <w:r>
        <w:separator/>
      </w:r>
    </w:p>
  </w:footnote>
  <w:footnote w:type="continuationSeparator" w:id="0">
    <w:p w:rsidR="001B4631" w:rsidRDefault="001B4631" w:rsidP="003A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38" w:rsidRDefault="00303138">
    <w:pPr>
      <w:pStyle w:val="Encabezado"/>
    </w:pPr>
    <w:r>
      <w:rPr>
        <w:noProof/>
      </w:rPr>
      <w:drawing>
        <wp:inline distT="0" distB="0" distL="0" distR="0">
          <wp:extent cx="1924050" cy="10477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6E7D"/>
    <w:multiLevelType w:val="hybridMultilevel"/>
    <w:tmpl w:val="E43A0C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4686"/>
    <w:multiLevelType w:val="hybridMultilevel"/>
    <w:tmpl w:val="3FCCC724"/>
    <w:lvl w:ilvl="0" w:tplc="57748A0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6C61"/>
    <w:multiLevelType w:val="multilevel"/>
    <w:tmpl w:val="8E445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EC6B26"/>
    <w:multiLevelType w:val="hybridMultilevel"/>
    <w:tmpl w:val="DF44E3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E3784"/>
    <w:multiLevelType w:val="hybridMultilevel"/>
    <w:tmpl w:val="013CB3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92F6B"/>
    <w:multiLevelType w:val="hybridMultilevel"/>
    <w:tmpl w:val="8EA25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007BB"/>
    <w:multiLevelType w:val="hybridMultilevel"/>
    <w:tmpl w:val="77161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8A"/>
    <w:rsid w:val="00111FCC"/>
    <w:rsid w:val="001162F7"/>
    <w:rsid w:val="001B4631"/>
    <w:rsid w:val="00303138"/>
    <w:rsid w:val="003260B7"/>
    <w:rsid w:val="00376217"/>
    <w:rsid w:val="003A0E1F"/>
    <w:rsid w:val="0043400A"/>
    <w:rsid w:val="00686944"/>
    <w:rsid w:val="007C4420"/>
    <w:rsid w:val="0084387B"/>
    <w:rsid w:val="00845603"/>
    <w:rsid w:val="009A0AE1"/>
    <w:rsid w:val="009D0539"/>
    <w:rsid w:val="00B23480"/>
    <w:rsid w:val="00C94B06"/>
    <w:rsid w:val="00F5027F"/>
    <w:rsid w:val="00FA554D"/>
    <w:rsid w:val="00F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F3E14"/>
  <w15:chartTrackingRefBased/>
  <w15:docId w15:val="{26FBBC13-53AA-409C-945D-F316080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260B7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3260B7"/>
    <w:rPr>
      <w:rFonts w:eastAsiaTheme="minorEastAsia"/>
      <w:lang w:val="es-MX" w:eastAsia="es-MX"/>
    </w:rPr>
  </w:style>
  <w:style w:type="table" w:styleId="Tablaconcuadrcula">
    <w:name w:val="Table Grid"/>
    <w:basedOn w:val="Tablanormal"/>
    <w:uiPriority w:val="59"/>
    <w:rsid w:val="00111FC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0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E1F"/>
  </w:style>
  <w:style w:type="paragraph" w:styleId="Piedepgina">
    <w:name w:val="footer"/>
    <w:basedOn w:val="Normal"/>
    <w:link w:val="PiedepginaCar"/>
    <w:uiPriority w:val="99"/>
    <w:unhideWhenUsed/>
    <w:rsid w:val="003A0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Likuit Snake</dc:creator>
  <cp:keywords/>
  <dc:description/>
  <cp:lastModifiedBy>Likuit Snake</cp:lastModifiedBy>
  <cp:revision>1</cp:revision>
  <dcterms:created xsi:type="dcterms:W3CDTF">2022-06-09T13:56:00Z</dcterms:created>
  <dcterms:modified xsi:type="dcterms:W3CDTF">2022-06-09T17:55:00Z</dcterms:modified>
</cp:coreProperties>
</file>